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43A" w:rsidRPr="005D25FE" w:rsidRDefault="006455FD" w:rsidP="005D25FE">
      <w:pPr>
        <w:pStyle w:val="Ttulo1"/>
        <w:spacing w:before="0"/>
        <w:jc w:val="both"/>
        <w:rPr>
          <w:rFonts w:ascii="Exotc350 DmBd BT" w:hAnsi="Exotc350 DmBd BT"/>
          <w:b/>
          <w:lang w:val="es-ES"/>
        </w:rPr>
      </w:pPr>
      <w:bookmarkStart w:id="0" w:name="_GoBack"/>
      <w:r w:rsidRPr="005D25FE">
        <w:rPr>
          <w:rFonts w:ascii="Exotc350 DmBd BT" w:hAnsi="Exotc350 DmBd BT"/>
          <w:i w:val="0"/>
          <w:noProof/>
          <w:sz w:val="40"/>
          <w:lang w:val="es-EC" w:eastAsia="es-EC"/>
        </w:rPr>
        <w:drawing>
          <wp:anchor distT="0" distB="0" distL="114300" distR="114300" simplePos="0" relativeHeight="251670528" behindDoc="1" locked="0" layoutInCell="1" allowOverlap="1" wp14:anchorId="51708649" wp14:editId="64DC8AA4">
            <wp:simplePos x="0" y="0"/>
            <wp:positionH relativeFrom="column">
              <wp:posOffset>4968240</wp:posOffset>
            </wp:positionH>
            <wp:positionV relativeFrom="paragraph">
              <wp:posOffset>-1625600</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5D25FE">
        <w:rPr>
          <w:rFonts w:ascii="Exotc350 DmBd BT" w:hAnsi="Exotc350 DmBd BT"/>
          <w:i w:val="0"/>
          <w:noProof/>
          <w:sz w:val="40"/>
          <w:lang w:val="es-EC" w:eastAsia="es-EC"/>
        </w:rPr>
        <mc:AlternateContent>
          <mc:Choice Requires="wps">
            <w:drawing>
              <wp:anchor distT="0" distB="0" distL="114300" distR="114300" simplePos="0" relativeHeight="251669504" behindDoc="0" locked="0" layoutInCell="1" allowOverlap="1" wp14:anchorId="4024011C" wp14:editId="404B6903">
                <wp:simplePos x="0" y="0"/>
                <wp:positionH relativeFrom="column">
                  <wp:posOffset>3725545</wp:posOffset>
                </wp:positionH>
                <wp:positionV relativeFrom="paragraph">
                  <wp:posOffset>-1060450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1A9" w:rsidRPr="002671A9" w:rsidRDefault="00C32BBF" w:rsidP="00FE0A40">
                            <w:pPr>
                              <w:spacing w:after="0" w:line="240" w:lineRule="auto"/>
                              <w:jc w:val="right"/>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Re</w:t>
                            </w:r>
                            <w:r w:rsidR="002671A9" w:rsidRPr="002671A9">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cordatorio </w:t>
                            </w:r>
                          </w:p>
                          <w:p w:rsidR="002671A9" w:rsidRPr="00491E34" w:rsidRDefault="00C32BBF" w:rsidP="00FE0A40">
                            <w:pPr>
                              <w:spacing w:after="0" w:line="240" w:lineRule="auto"/>
                              <w:jc w:val="right"/>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4</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293.35pt;margin-top:-83.5pt;width:229.15pt;height:6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5uQ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" filled="f" stroked="f">
                <v:textbox>
                  <w:txbxContent>
                    <w:p w:rsidR="002671A9" w:rsidRPr="002671A9" w:rsidRDefault="00C32BBF" w:rsidP="00FE0A40">
                      <w:pPr>
                        <w:spacing w:after="0" w:line="240" w:lineRule="auto"/>
                        <w:jc w:val="right"/>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Re</w:t>
                      </w:r>
                      <w:r w:rsidR="002671A9" w:rsidRPr="002671A9">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cordatorio </w:t>
                      </w:r>
                    </w:p>
                    <w:p w:rsidR="002671A9" w:rsidRPr="00491E34" w:rsidRDefault="00C32BBF" w:rsidP="00FE0A40">
                      <w:pPr>
                        <w:spacing w:after="0" w:line="240" w:lineRule="auto"/>
                        <w:jc w:val="right"/>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4</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00FE0A40" w:rsidRPr="005D25FE">
        <w:rPr>
          <w:rFonts w:ascii="Exotc350 DmBd BT" w:hAnsi="Exotc350 DmBd BT"/>
          <w:i w:val="0"/>
          <w:noProof/>
          <w:sz w:val="40"/>
          <w:lang w:val="es-EC" w:eastAsia="es-EC"/>
        </w:rPr>
        <mc:AlternateContent>
          <mc:Choice Requires="wps">
            <w:drawing>
              <wp:anchor distT="0" distB="0" distL="114300" distR="114300" simplePos="0" relativeHeight="251659264" behindDoc="1" locked="0" layoutInCell="1" allowOverlap="1" wp14:anchorId="4F073611" wp14:editId="62B209C8">
                <wp:simplePos x="0" y="0"/>
                <wp:positionH relativeFrom="margin">
                  <wp:align>center</wp:align>
                </wp:positionH>
                <wp:positionV relativeFrom="topMargin">
                  <wp:posOffset>678815</wp:posOffset>
                </wp:positionV>
                <wp:extent cx="6743700" cy="885825"/>
                <wp:effectExtent l="95250" t="38100" r="97790" b="161925"/>
                <wp:wrapNone/>
                <wp:docPr id="1" name="Rectangle 1"/>
                <wp:cNvGraphicFramePr/>
                <a:graphic xmlns:a="http://schemas.openxmlformats.org/drawingml/2006/main">
                  <a:graphicData uri="http://schemas.microsoft.com/office/word/2010/wordprocessingShape">
                    <wps:wsp>
                      <wps:cNvSpPr/>
                      <wps:spPr>
                        <a:xfrm>
                          <a:off x="0" y="0"/>
                          <a:ext cx="6743700" cy="885825"/>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2671A9" w:rsidRDefault="002671A9"/>
                          <w:p w:rsidR="002671A9" w:rsidRDefault="002671A9"/>
                          <w:tbl>
                            <w:tblPr>
                              <w:tblW w:w="5000" w:type="pct"/>
                              <w:jc w:val="center"/>
                              <w:tblLook w:val="04A0" w:firstRow="1" w:lastRow="0" w:firstColumn="1" w:lastColumn="0" w:noHBand="0" w:noVBand="1"/>
                            </w:tblPr>
                            <w:tblGrid>
                              <w:gridCol w:w="3494"/>
                              <w:gridCol w:w="3493"/>
                              <w:gridCol w:w="3494"/>
                            </w:tblGrid>
                            <w:tr w:rsidR="007870A9" w:rsidTr="002671A9">
                              <w:trPr>
                                <w:jc w:val="center"/>
                              </w:trPr>
                              <w:tc>
                                <w:tcPr>
                                  <w:tcW w:w="3506" w:type="dxa"/>
                                </w:tcPr>
                                <w:p w:rsidR="007870A9" w:rsidRDefault="007870A9">
                                  <w:pPr>
                                    <w:spacing w:after="160" w:line="264" w:lineRule="auto"/>
                                    <w:jc w:val="center"/>
                                  </w:pPr>
                                </w:p>
                              </w:tc>
                              <w:tc>
                                <w:tcPr>
                                  <w:tcW w:w="3506" w:type="dxa"/>
                                </w:tcPr>
                                <w:p w:rsidR="007870A9" w:rsidRDefault="007870A9">
                                  <w:pPr>
                                    <w:spacing w:after="160" w:line="264" w:lineRule="auto"/>
                                    <w:jc w:val="center"/>
                                  </w:pPr>
                                </w:p>
                              </w:tc>
                              <w:tc>
                                <w:tcPr>
                                  <w:tcW w:w="3507" w:type="dxa"/>
                                </w:tcPr>
                                <w:p w:rsidR="007870A9" w:rsidRDefault="007870A9">
                                  <w:pPr>
                                    <w:jc w:val="center"/>
                                  </w:pPr>
                                </w:p>
                              </w:tc>
                            </w:tr>
                          </w:tbl>
                          <w:p w:rsidR="007870A9" w:rsidRDefault="007870A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105000</wp14:pctWidth>
                </wp14:sizeRelH>
                <wp14:sizeRelV relativeFrom="topMargin">
                  <wp14:pctHeight>0</wp14:pctHeight>
                </wp14:sizeRelV>
              </wp:anchor>
            </w:drawing>
          </mc:Choice>
          <mc:Fallback>
            <w:pict>
              <v:rect id="Rectangle 1" o:spid="_x0000_s1027" style="position:absolute;left:0;text-align:left;margin-left:0;margin-top:53.45pt;width:531pt;height:69.75pt;z-index:-251657216;visibility:visible;mso-wrap-style:square;mso-width-percent:1050;mso-height-percent:0;mso-wrap-distance-left:9pt;mso-wrap-distance-top:0;mso-wrap-distance-right:9pt;mso-wrap-distance-bottom:0;mso-position-horizontal:center;mso-position-horizontal-relative:margin;mso-position-vertical:absolute;mso-position-vertical-relative:top-margin-area;mso-width-percent:105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" stroked="f" strokeweight="2.25pt">
                <v:fill r:id="rId9" o:title="" recolor="t" rotate="t" type="tile"/>
                <v:imagedata recolortarget="#325ea2 [3058]"/>
                <v:shadow on="t" color="black" opacity=".25" origin=",-.5" offset="0,4pt"/>
                <v:textbox inset=",14.4pt">
                  <w:txbxContent>
                    <w:p w:rsidR="002671A9" w:rsidRDefault="002671A9"/>
                    <w:p w:rsidR="002671A9" w:rsidRDefault="002671A9"/>
                    <w:tbl>
                      <w:tblPr>
                        <w:tblW w:w="5000" w:type="pct"/>
                        <w:jc w:val="center"/>
                        <w:tblLook w:val="04A0" w:firstRow="1" w:lastRow="0" w:firstColumn="1" w:lastColumn="0" w:noHBand="0" w:noVBand="1"/>
                      </w:tblPr>
                      <w:tblGrid>
                        <w:gridCol w:w="3494"/>
                        <w:gridCol w:w="3493"/>
                        <w:gridCol w:w="3494"/>
                      </w:tblGrid>
                      <w:tr w:rsidR="007870A9" w:rsidTr="002671A9">
                        <w:trPr>
                          <w:jc w:val="center"/>
                        </w:trPr>
                        <w:tc>
                          <w:tcPr>
                            <w:tcW w:w="3506" w:type="dxa"/>
                          </w:tcPr>
                          <w:p w:rsidR="007870A9" w:rsidRDefault="007870A9">
                            <w:pPr>
                              <w:spacing w:after="160" w:line="264" w:lineRule="auto"/>
                              <w:jc w:val="center"/>
                            </w:pPr>
                          </w:p>
                        </w:tc>
                        <w:tc>
                          <w:tcPr>
                            <w:tcW w:w="3506" w:type="dxa"/>
                          </w:tcPr>
                          <w:p w:rsidR="007870A9" w:rsidRDefault="007870A9">
                            <w:pPr>
                              <w:spacing w:after="160" w:line="264" w:lineRule="auto"/>
                              <w:jc w:val="center"/>
                            </w:pPr>
                          </w:p>
                        </w:tc>
                        <w:tc>
                          <w:tcPr>
                            <w:tcW w:w="3507" w:type="dxa"/>
                          </w:tcPr>
                          <w:p w:rsidR="007870A9" w:rsidRDefault="007870A9">
                            <w:pPr>
                              <w:jc w:val="center"/>
                            </w:pPr>
                          </w:p>
                        </w:tc>
                      </w:tr>
                    </w:tbl>
                    <w:p w:rsidR="007870A9" w:rsidRDefault="007870A9">
                      <w:pPr>
                        <w:jc w:val="center"/>
                      </w:pPr>
                    </w:p>
                  </w:txbxContent>
                </v:textbox>
                <w10:wrap anchorx="margin" anchory="margin"/>
              </v:rect>
            </w:pict>
          </mc:Fallback>
        </mc:AlternateContent>
      </w:r>
      <w:r w:rsidR="004B343A" w:rsidRPr="005D25FE">
        <w:rPr>
          <w:rFonts w:ascii="Exotc350 DmBd BT" w:hAnsi="Exotc350 DmBd BT"/>
          <w:b/>
          <w:i w:val="0"/>
          <w:sz w:val="40"/>
          <w:lang w:val="es-ES"/>
        </w:rPr>
        <w:t xml:space="preserve">LEY ORGÁNICA DE INCENTIVOS PARA ASOCIACIONES PÚBLICO-PRIVADAS Y </w:t>
      </w:r>
      <w:bookmarkEnd w:id="0"/>
      <w:r w:rsidR="004B343A" w:rsidRPr="005D25FE">
        <w:rPr>
          <w:rFonts w:ascii="Exotc350 DmBd BT" w:hAnsi="Exotc350 DmBd BT"/>
          <w:b/>
          <w:i w:val="0"/>
          <w:sz w:val="40"/>
          <w:lang w:val="es-ES"/>
        </w:rPr>
        <w:t>LA INVERSIÓN EXTRANJER</w:t>
      </w:r>
      <w:r w:rsidR="004B343A" w:rsidRPr="005D25FE">
        <w:rPr>
          <w:rFonts w:ascii="Exotc350 DmBd BT" w:hAnsi="Exotc350 DmBd BT"/>
          <w:b/>
          <w:sz w:val="40"/>
          <w:lang w:val="es-ES"/>
        </w:rPr>
        <w:t>A</w:t>
      </w:r>
    </w:p>
    <w:p w:rsidR="004B343A" w:rsidRPr="004B343A" w:rsidRDefault="004B343A" w:rsidP="004B343A">
      <w:pPr>
        <w:rPr>
          <w:sz w:val="2"/>
          <w:lang w:val="es-ES"/>
        </w:rPr>
      </w:pPr>
    </w:p>
    <w:p w:rsidR="004B343A" w:rsidRPr="00C527C1" w:rsidRDefault="004B343A" w:rsidP="00C527C1">
      <w:pPr>
        <w:pBdr>
          <w:top w:val="single" w:sz="4" w:space="1" w:color="auto"/>
          <w:left w:val="single" w:sz="4" w:space="4" w:color="auto"/>
          <w:bottom w:val="single" w:sz="4" w:space="1" w:color="auto"/>
          <w:right w:val="single" w:sz="4" w:space="4" w:color="auto"/>
        </w:pBdr>
        <w:shd w:val="clear" w:color="auto" w:fill="2C395D" w:themeFill="accent1" w:themeFillShade="80"/>
        <w:rPr>
          <w:rFonts w:ascii="Arial" w:hAnsi="Arial" w:cs="Arial"/>
          <w:b/>
          <w:i/>
          <w:color w:val="FFFFFF" w:themeColor="background1"/>
          <w:sz w:val="24"/>
          <w:szCs w:val="24"/>
          <w:lang w:val="es-ES"/>
        </w:rPr>
      </w:pPr>
      <w:r w:rsidRPr="00C527C1">
        <w:rPr>
          <w:rFonts w:ascii="Arial" w:hAnsi="Arial" w:cs="Arial"/>
          <w:b/>
          <w:i/>
          <w:color w:val="FFFFFF" w:themeColor="background1"/>
          <w:sz w:val="24"/>
          <w:szCs w:val="24"/>
          <w:lang w:val="es-ES"/>
        </w:rPr>
        <w:t xml:space="preserve">Segunda.- </w:t>
      </w:r>
      <w:r w:rsidR="00C527C1">
        <w:rPr>
          <w:rFonts w:ascii="Arial" w:hAnsi="Arial" w:cs="Arial"/>
          <w:b/>
          <w:i/>
          <w:color w:val="FFFFFF" w:themeColor="background1"/>
          <w:sz w:val="24"/>
          <w:szCs w:val="24"/>
          <w:lang w:val="es-ES"/>
        </w:rPr>
        <w:t xml:space="preserve"> </w:t>
      </w:r>
      <w:r w:rsidRPr="00C527C1">
        <w:rPr>
          <w:rFonts w:ascii="Arial" w:hAnsi="Arial" w:cs="Arial"/>
          <w:b/>
          <w:i/>
          <w:color w:val="FFFFFF" w:themeColor="background1"/>
          <w:sz w:val="24"/>
          <w:szCs w:val="24"/>
          <w:lang w:val="es-ES"/>
        </w:rPr>
        <w:t>Reformas</w:t>
      </w:r>
      <w:r w:rsidR="00C527C1">
        <w:rPr>
          <w:rFonts w:ascii="Arial" w:hAnsi="Arial" w:cs="Arial"/>
          <w:b/>
          <w:i/>
          <w:color w:val="FFFFFF" w:themeColor="background1"/>
          <w:sz w:val="24"/>
          <w:szCs w:val="24"/>
          <w:lang w:val="es-ES"/>
        </w:rPr>
        <w:t xml:space="preserve"> </w:t>
      </w:r>
      <w:r w:rsidRPr="00C527C1">
        <w:rPr>
          <w:rFonts w:ascii="Arial" w:hAnsi="Arial" w:cs="Arial"/>
          <w:b/>
          <w:i/>
          <w:color w:val="FFFFFF" w:themeColor="background1"/>
          <w:sz w:val="24"/>
          <w:szCs w:val="24"/>
          <w:lang w:val="es-ES"/>
        </w:rPr>
        <w:t xml:space="preserve"> a </w:t>
      </w:r>
      <w:r w:rsidR="00C527C1">
        <w:rPr>
          <w:rFonts w:ascii="Arial" w:hAnsi="Arial" w:cs="Arial"/>
          <w:b/>
          <w:i/>
          <w:color w:val="FFFFFF" w:themeColor="background1"/>
          <w:sz w:val="24"/>
          <w:szCs w:val="24"/>
          <w:lang w:val="es-ES"/>
        </w:rPr>
        <w:t xml:space="preserve"> </w:t>
      </w:r>
      <w:r w:rsidR="006455FD">
        <w:rPr>
          <w:rFonts w:ascii="Arial" w:hAnsi="Arial" w:cs="Arial"/>
          <w:b/>
          <w:i/>
          <w:color w:val="FFFFFF" w:themeColor="background1"/>
          <w:sz w:val="24"/>
          <w:szCs w:val="24"/>
          <w:lang w:val="es-ES"/>
        </w:rPr>
        <w:t>l</w:t>
      </w:r>
      <w:r w:rsidRPr="00C527C1">
        <w:rPr>
          <w:rFonts w:ascii="Arial" w:hAnsi="Arial" w:cs="Arial"/>
          <w:b/>
          <w:i/>
          <w:color w:val="FFFFFF" w:themeColor="background1"/>
          <w:sz w:val="24"/>
          <w:szCs w:val="24"/>
          <w:lang w:val="es-ES"/>
        </w:rPr>
        <w:t xml:space="preserve">a Ley Orgánica de Régimen Tributario Interno </w:t>
      </w:r>
    </w:p>
    <w:p w:rsidR="007870A9" w:rsidRPr="00C527C1" w:rsidRDefault="005D25FE" w:rsidP="00850E2F">
      <w:pPr>
        <w:pStyle w:val="Subttulo"/>
        <w:tabs>
          <w:tab w:val="left" w:pos="10065"/>
        </w:tabs>
        <w:spacing w:after="0" w:line="240" w:lineRule="auto"/>
        <w:rPr>
          <w:rFonts w:ascii="Arial" w:hAnsi="Arial" w:cs="Arial"/>
          <w:lang w:val="es-ES"/>
        </w:rPr>
      </w:pPr>
      <w:r w:rsidRPr="002A7BD6">
        <w:rPr>
          <w:rFonts w:ascii="Arial" w:hAnsi="Arial" w:cs="Arial"/>
          <w:noProof/>
          <w:sz w:val="18"/>
          <w:szCs w:val="18"/>
          <w:lang w:val="es-EC" w:eastAsia="es-EC"/>
        </w:rPr>
        <w:drawing>
          <wp:anchor distT="0" distB="0" distL="114300" distR="114300" simplePos="0" relativeHeight="251686912" behindDoc="0" locked="0" layoutInCell="1" allowOverlap="1" wp14:anchorId="4EDE958D" wp14:editId="4C1C11DF">
            <wp:simplePos x="0" y="0"/>
            <wp:positionH relativeFrom="margin">
              <wp:posOffset>3729990</wp:posOffset>
            </wp:positionH>
            <wp:positionV relativeFrom="paragraph">
              <wp:posOffset>297180</wp:posOffset>
            </wp:positionV>
            <wp:extent cx="2581275" cy="2038350"/>
            <wp:effectExtent l="0" t="0" r="9525" b="0"/>
            <wp:wrapSquare wrapText="bothSides"/>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ortante11[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81275" cy="2038350"/>
                    </a:xfrm>
                    <a:prstGeom prst="rect">
                      <a:avLst/>
                    </a:prstGeom>
                  </pic:spPr>
                </pic:pic>
              </a:graphicData>
            </a:graphic>
            <wp14:sizeRelH relativeFrom="margin">
              <wp14:pctWidth>0</wp14:pctWidth>
            </wp14:sizeRelH>
            <wp14:sizeRelV relativeFrom="margin">
              <wp14:pctHeight>0</wp14:pctHeight>
            </wp14:sizeRelV>
          </wp:anchor>
        </w:drawing>
      </w:r>
      <w:r w:rsidR="00C527C1" w:rsidRPr="00C527C1">
        <w:rPr>
          <w:rFonts w:ascii="Arial" w:hAnsi="Arial" w:cs="Arial"/>
          <w:lang w:val="es-EC"/>
        </w:rPr>
        <w:t>En la Ley Orgánica de Régimen Tributario Interno, agréguese las siguientes disposiciones:</w:t>
      </w:r>
      <w:r w:rsidR="00FE0A40" w:rsidRPr="00C527C1">
        <w:rPr>
          <w:rFonts w:ascii="Arial" w:hAnsi="Arial" w:cs="Arial"/>
          <w:lang w:val="es-ES"/>
        </w:rPr>
        <w:t xml:space="preserve"> </w:t>
      </w:r>
      <w:r w:rsidR="00E64237" w:rsidRPr="00C527C1">
        <w:rPr>
          <w:rFonts w:ascii="Arial" w:hAnsi="Arial" w:cs="Arial"/>
          <w:lang w:val="es-ES"/>
        </w:rPr>
        <w:t xml:space="preserve"> </w:t>
      </w:r>
    </w:p>
    <w:p w:rsidR="007870A9" w:rsidRPr="002A7BD6" w:rsidRDefault="007870A9">
      <w:pPr>
        <w:pStyle w:val="Subttulo"/>
        <w:rPr>
          <w:sz w:val="2"/>
          <w:lang w:val="es-ES"/>
        </w:rPr>
      </w:pPr>
    </w:p>
    <w:p w:rsidR="00C527C1" w:rsidRPr="002A7BD6" w:rsidRDefault="00C527C1" w:rsidP="00C527C1">
      <w:pPr>
        <w:rPr>
          <w:sz w:val="2"/>
          <w:lang w:val="es-ES"/>
        </w:rPr>
        <w:sectPr w:rsidR="00C527C1" w:rsidRPr="002A7BD6" w:rsidSect="006455FD">
          <w:type w:val="continuous"/>
          <w:pgSz w:w="12240" w:h="15840"/>
          <w:pgMar w:top="2977" w:right="936" w:bottom="936" w:left="936" w:header="720" w:footer="720" w:gutter="0"/>
          <w:cols w:space="720"/>
          <w:docGrid w:linePitch="360"/>
        </w:sectPr>
      </w:pPr>
    </w:p>
    <w:p w:rsidR="004B343A" w:rsidRPr="00165C68" w:rsidRDefault="004B343A" w:rsidP="004B343A">
      <w:pPr>
        <w:jc w:val="both"/>
        <w:rPr>
          <w:rFonts w:ascii="Arial" w:hAnsi="Arial" w:cs="Arial"/>
          <w:b/>
          <w:i/>
          <w:sz w:val="20"/>
          <w:szCs w:val="16"/>
          <w:u w:val="single"/>
          <w:lang w:val="es-ES"/>
        </w:rPr>
      </w:pPr>
      <w:r w:rsidRPr="00165C68">
        <w:rPr>
          <w:b/>
          <w:i/>
          <w:sz w:val="20"/>
          <w:szCs w:val="16"/>
          <w:u w:val="single"/>
          <w:lang w:val="es-ES"/>
        </w:rPr>
        <w:lastRenderedPageBreak/>
        <w:t xml:space="preserve">1. </w:t>
      </w:r>
      <w:r w:rsidRPr="00165C68">
        <w:rPr>
          <w:rFonts w:ascii="Arial" w:hAnsi="Arial" w:cs="Arial"/>
          <w:b/>
          <w:i/>
          <w:sz w:val="20"/>
          <w:szCs w:val="16"/>
          <w:u w:val="single"/>
          <w:lang w:val="es-ES"/>
        </w:rPr>
        <w:t xml:space="preserve">Sustitúyase el numeral 15.1 del artículo 9 por el siguiente: </w:t>
      </w:r>
    </w:p>
    <w:p w:rsidR="004B343A" w:rsidRPr="00165C68" w:rsidRDefault="004B343A" w:rsidP="004B343A">
      <w:pPr>
        <w:jc w:val="both"/>
        <w:rPr>
          <w:rFonts w:ascii="Arial" w:hAnsi="Arial" w:cs="Arial"/>
          <w:sz w:val="16"/>
          <w:szCs w:val="16"/>
          <w:lang w:val="es-ES"/>
        </w:rPr>
      </w:pPr>
      <w:r w:rsidRPr="00165C68">
        <w:rPr>
          <w:rFonts w:ascii="Arial" w:hAnsi="Arial" w:cs="Arial"/>
          <w:sz w:val="16"/>
          <w:szCs w:val="16"/>
          <w:lang w:val="es-ES"/>
        </w:rPr>
        <w:t>"15.1.- Los rendimientos y beneficios obtenidos por personas naturales y sociedades, residentes o no en el país, por depósitos a plazo fijo en instituciones financieras nacionales, así como por inversiones en valores en renta fija que se negocien a través de las bolsas de valores del país o del Registro Especial Bursátil, incluso los rendimientos y beneficios distribuidos por fideicomisos mercantiles de inversión, fondos de inversión y fondos complementarios originados en este tipo de inversiones. Para la aplicación de esta exoneración los depósitos a plazo fijo e inversiones en renta fija deberán efectuarse a partir del 01 de enero de 2016, emitirse a un plazo de 360 días calendario o más, y permanecer en posesión del tendedor que se beneficia de la exoneración por lo menos 360 días de manera continua.</w:t>
      </w:r>
    </w:p>
    <w:p w:rsidR="004B343A" w:rsidRPr="00165C68" w:rsidRDefault="004B343A" w:rsidP="00C527C1">
      <w:pPr>
        <w:jc w:val="both"/>
        <w:rPr>
          <w:rFonts w:ascii="Arial" w:hAnsi="Arial" w:cs="Arial"/>
          <w:sz w:val="16"/>
          <w:szCs w:val="16"/>
          <w:lang w:val="es-ES"/>
        </w:rPr>
      </w:pPr>
      <w:r w:rsidRPr="00165C68">
        <w:rPr>
          <w:rFonts w:ascii="Arial" w:hAnsi="Arial" w:cs="Arial"/>
          <w:sz w:val="16"/>
          <w:szCs w:val="16"/>
          <w:lang w:val="es-ES"/>
        </w:rPr>
        <w:t>Esta exoneración no será aplicable en caso de que el perceptor del ingreso sea deudor directa o indirectamente de las instituciones en que mantenga el depósito o inversión, o de cualquiera de sus vinculadas; así como cuando dicho perceptor sea una institución del sistema financiero nacional o en operaciones entre partes relacionadas por capital, administración, dirección o control."</w:t>
      </w:r>
      <w:r w:rsidR="002A7BD6" w:rsidRPr="00165C68">
        <w:rPr>
          <w:rFonts w:ascii="Arial" w:hAnsi="Arial" w:cs="Arial"/>
          <w:sz w:val="16"/>
          <w:szCs w:val="16"/>
          <w:lang w:val="es-ES"/>
        </w:rPr>
        <w:t xml:space="preserve"> </w:t>
      </w:r>
    </w:p>
    <w:p w:rsidR="002A7BD6" w:rsidRPr="00165C68" w:rsidRDefault="005D25FE" w:rsidP="002A7BD6">
      <w:pPr>
        <w:jc w:val="both"/>
        <w:rPr>
          <w:rFonts w:ascii="Arial" w:hAnsi="Arial" w:cs="Arial"/>
          <w:b/>
          <w:i/>
          <w:sz w:val="16"/>
          <w:szCs w:val="16"/>
          <w:u w:val="single"/>
          <w:lang w:val="es-ES"/>
        </w:rPr>
      </w:pPr>
      <w:r w:rsidRPr="00165C68">
        <w:rPr>
          <w:rFonts w:ascii="Arial" w:hAnsi="Arial" w:cs="Arial"/>
          <w:noProof/>
          <w:sz w:val="16"/>
          <w:szCs w:val="16"/>
          <w:lang w:val="es-EC" w:eastAsia="es-EC"/>
        </w:rPr>
        <mc:AlternateContent>
          <mc:Choice Requires="wps">
            <w:drawing>
              <wp:inline distT="0" distB="0" distL="0" distR="0" wp14:anchorId="7378830F" wp14:editId="7148D886">
                <wp:extent cx="3086100" cy="1343025"/>
                <wp:effectExtent l="0" t="0" r="0" b="9525"/>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343025"/>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p w:rsidR="007870A9" w:rsidRPr="002A7BD6" w:rsidRDefault="004B343A">
                            <w:pPr>
                              <w:pStyle w:val="Cita"/>
                              <w:rPr>
                                <w:sz w:val="20"/>
                                <w:szCs w:val="20"/>
                                <w:lang w:val="es-ES"/>
                              </w:rPr>
                            </w:pPr>
                            <w:r w:rsidRPr="002A7BD6">
                              <w:rPr>
                                <w:b/>
                                <w:sz w:val="20"/>
                                <w:szCs w:val="20"/>
                                <w:u w:val="single"/>
                                <w:lang w:val="es-ES"/>
                              </w:rPr>
                              <w:t>Comentario:</w:t>
                            </w:r>
                            <w:r w:rsidRPr="002A7BD6">
                              <w:rPr>
                                <w:sz w:val="20"/>
                                <w:szCs w:val="20"/>
                                <w:lang w:val="es-ES"/>
                              </w:rPr>
                              <w:t xml:space="preserve"> Se amplía la exención para las sociedades y además ya no se considera la residencia fiscal de los contribuyentes beneficiarios de los rendimientos financieros.</w:t>
                            </w:r>
                          </w:p>
                        </w:txbxContent>
                      </wps:txbx>
                      <wps:bodyPr rot="0" vert="horz" wrap="square" lIns="91440" tIns="91440" rIns="91440" bIns="137160" anchor="ctr" anchorCtr="0">
                        <a:noAutofit/>
                      </wps:bodyPr>
                    </wps:wsp>
                  </a:graphicData>
                </a:graphic>
              </wp:inline>
            </w:drawing>
          </mc:Choice>
          <mc:Fallback>
            <w:pict>
              <v:rect id="AutoShape 11" o:spid="_x0000_s1028" style="width:243pt;height:10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" stroked="f" strokeweight="2.25pt">
                <v:fill r:id="rId11" o:title="" recolor="t" rotate="t" type="tile"/>
                <v:imagedata recolortarget="#e5e9ef [3059]"/>
                <v:textbox inset=",7.2pt,,10.8pt">
                  <w:txbxContent>
                    <w:p w:rsidR="007870A9" w:rsidRPr="002A7BD6" w:rsidRDefault="004B343A">
                      <w:pPr>
                        <w:pStyle w:val="Quote"/>
                        <w:rPr>
                          <w:sz w:val="20"/>
                          <w:szCs w:val="20"/>
                          <w:lang w:val="es-ES"/>
                        </w:rPr>
                      </w:pPr>
                      <w:r w:rsidRPr="002A7BD6">
                        <w:rPr>
                          <w:b/>
                          <w:sz w:val="20"/>
                          <w:szCs w:val="20"/>
                          <w:u w:val="single"/>
                          <w:lang w:val="es-ES"/>
                        </w:rPr>
                        <w:t>Comentario:</w:t>
                      </w:r>
                      <w:r w:rsidRPr="002A7BD6">
                        <w:rPr>
                          <w:sz w:val="20"/>
                          <w:szCs w:val="20"/>
                          <w:lang w:val="es-ES"/>
                        </w:rPr>
                        <w:t xml:space="preserve"> Se amplía la exención para las sociedades y además ya no se considera la residencia fiscal de los contribuyentes beneficiarios de los rendimientos financieros.</w:t>
                      </w:r>
                    </w:p>
                  </w:txbxContent>
                </v:textbox>
                <w10:anchorlock/>
              </v:rect>
            </w:pict>
          </mc:Fallback>
        </mc:AlternateContent>
      </w:r>
    </w:p>
    <w:p w:rsidR="00165C68" w:rsidRPr="00165C68" w:rsidRDefault="00165C68" w:rsidP="002A7BD6">
      <w:pPr>
        <w:jc w:val="both"/>
        <w:rPr>
          <w:rFonts w:ascii="Arial" w:hAnsi="Arial" w:cs="Arial"/>
          <w:b/>
          <w:i/>
          <w:sz w:val="16"/>
          <w:szCs w:val="16"/>
          <w:u w:val="single"/>
          <w:lang w:val="es-ES"/>
        </w:rPr>
      </w:pP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2. Luego del último numeral del artículo 9, agréguese los siguientes: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23) Las rentas originadas en títulos representativos de obligaciones de 360 días calendario o más emitidos para el financiamiento de proyectos públicos desarrollados en asociación público-privada y en las transacciones que se practiquen respecto de los referidos títulos. Este beneficio no se aplica en operaciones entre partes relacionadas. </w:t>
      </w:r>
    </w:p>
    <w:p w:rsid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24) Las utilidades que perciban las sociedades domiciliadas o no en Ecuador y las personas naturales, ecuatorianas o extranjeras, residentes o no en el país, provenientes de la enajenación directa o indirecta de acciones, participaciones, otros derechos representativos de capital u otros derechos que permitan la exploración, explotación, concesión o similares, de sociedades domiciliadas o establecimientos permanentes en Ecuador, realizadas en bolsas de valores ecuatorianas, hasta por un monto anual de una fracción básica gravada con tarifa cero del pago del impuesto a la renta.  </w:t>
      </w:r>
    </w:p>
    <w:p w:rsidR="002A7BD6" w:rsidRPr="00165C68" w:rsidRDefault="00B40C41" w:rsidP="002A7BD6">
      <w:pPr>
        <w:jc w:val="both"/>
        <w:rPr>
          <w:rFonts w:ascii="Arial" w:hAnsi="Arial" w:cs="Arial"/>
          <w:sz w:val="16"/>
          <w:szCs w:val="16"/>
          <w:lang w:val="es-ES"/>
        </w:rPr>
      </w:pPr>
      <w:r w:rsidRPr="00165C68">
        <w:rPr>
          <w:rFonts w:ascii="Arial" w:hAnsi="Arial" w:cs="Arial"/>
          <w:noProof/>
          <w:sz w:val="16"/>
          <w:szCs w:val="16"/>
          <w:lang w:val="es-EC" w:eastAsia="es-EC"/>
        </w:rPr>
        <mc:AlternateContent>
          <mc:Choice Requires="wps">
            <w:drawing>
              <wp:inline distT="0" distB="0" distL="0" distR="0" wp14:anchorId="12A7731C" wp14:editId="3CF7B856">
                <wp:extent cx="3086100" cy="790575"/>
                <wp:effectExtent l="0" t="0" r="0" b="9525"/>
                <wp:docPr id="2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790575"/>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p w:rsidR="00B40C41" w:rsidRPr="002A7BD6" w:rsidRDefault="00B40C41" w:rsidP="00B40C41">
                            <w:pPr>
                              <w:pStyle w:val="Cita"/>
                              <w:rPr>
                                <w:sz w:val="20"/>
                                <w:szCs w:val="20"/>
                                <w:lang w:val="es-ES"/>
                              </w:rPr>
                            </w:pPr>
                            <w:r w:rsidRPr="002A7BD6">
                              <w:rPr>
                                <w:b/>
                                <w:sz w:val="20"/>
                                <w:szCs w:val="20"/>
                                <w:u w:val="single"/>
                                <w:lang w:val="es-ES"/>
                              </w:rPr>
                              <w:t>Comentario:</w:t>
                            </w:r>
                            <w:r w:rsidRPr="002A7BD6">
                              <w:rPr>
                                <w:sz w:val="20"/>
                                <w:szCs w:val="20"/>
                                <w:lang w:val="es-ES"/>
                              </w:rPr>
                              <w:t xml:space="preserve"> </w:t>
                            </w:r>
                            <w:r w:rsidRPr="00850E2F">
                              <w:rPr>
                                <w:sz w:val="20"/>
                                <w:szCs w:val="20"/>
                                <w:lang w:val="es-ES"/>
                              </w:rPr>
                              <w:t>Se incorporan dos nuevas exenciones de Impuesto a la Renta</w:t>
                            </w:r>
                            <w:r w:rsidRPr="002A7BD6">
                              <w:rPr>
                                <w:sz w:val="20"/>
                                <w:szCs w:val="20"/>
                                <w:lang w:val="es-ES"/>
                              </w:rPr>
                              <w:t>.</w:t>
                            </w:r>
                          </w:p>
                        </w:txbxContent>
                      </wps:txbx>
                      <wps:bodyPr rot="0" vert="horz" wrap="square" lIns="91440" tIns="91440" rIns="91440" bIns="137160" anchor="ctr" anchorCtr="0">
                        <a:noAutofit/>
                      </wps:bodyPr>
                    </wps:wsp>
                  </a:graphicData>
                </a:graphic>
              </wp:inline>
            </w:drawing>
          </mc:Choice>
          <mc:Fallback>
            <w:pict>
              <v:rect id="_x0000_s1029" style="width:243pt;height:6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" stroked="f" strokeweight="2.25pt">
                <v:fill r:id="rId11" o:title="" recolor="t" rotate="t" type="tile"/>
                <v:imagedata recolortarget="#e5e9ef [3059]"/>
                <v:textbox inset=",7.2pt,,10.8pt">
                  <w:txbxContent>
                    <w:p w:rsidR="00B40C41" w:rsidRPr="002A7BD6" w:rsidRDefault="00B40C41" w:rsidP="00B40C41">
                      <w:pPr>
                        <w:pStyle w:val="Quote"/>
                        <w:rPr>
                          <w:sz w:val="20"/>
                          <w:szCs w:val="20"/>
                          <w:lang w:val="es-ES"/>
                        </w:rPr>
                      </w:pPr>
                      <w:r w:rsidRPr="002A7BD6">
                        <w:rPr>
                          <w:b/>
                          <w:sz w:val="20"/>
                          <w:szCs w:val="20"/>
                          <w:u w:val="single"/>
                          <w:lang w:val="es-ES"/>
                        </w:rPr>
                        <w:t>Comentario:</w:t>
                      </w:r>
                      <w:r w:rsidRPr="002A7BD6">
                        <w:rPr>
                          <w:sz w:val="20"/>
                          <w:szCs w:val="20"/>
                          <w:lang w:val="es-ES"/>
                        </w:rPr>
                        <w:t xml:space="preserve"> </w:t>
                      </w:r>
                      <w:r w:rsidRPr="00850E2F">
                        <w:rPr>
                          <w:sz w:val="20"/>
                          <w:szCs w:val="20"/>
                          <w:lang w:val="es-ES"/>
                        </w:rPr>
                        <w:t>Se incorporan dos nuevas exenciones de Impuesto a la Renta</w:t>
                      </w:r>
                      <w:r w:rsidRPr="002A7BD6">
                        <w:rPr>
                          <w:sz w:val="20"/>
                          <w:szCs w:val="20"/>
                          <w:lang w:val="es-ES"/>
                        </w:rPr>
                        <w:t>.</w:t>
                      </w:r>
                    </w:p>
                  </w:txbxContent>
                </v:textbox>
                <w10:anchorlock/>
              </v:rect>
            </w:pict>
          </mc:Fallback>
        </mc:AlternateContent>
      </w:r>
    </w:p>
    <w:p w:rsidR="00165C68" w:rsidRDefault="00165C68" w:rsidP="002A7BD6">
      <w:pPr>
        <w:jc w:val="both"/>
        <w:rPr>
          <w:rFonts w:ascii="Arial" w:hAnsi="Arial" w:cs="Arial"/>
          <w:b/>
          <w:i/>
          <w:sz w:val="20"/>
          <w:szCs w:val="16"/>
          <w:u w:val="single"/>
          <w:lang w:val="es-ES"/>
        </w:rPr>
      </w:pP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3. Luego del artículo 9.2, agréguese el siguiente: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lastRenderedPageBreak/>
        <w:t xml:space="preserve">Art. 9.3.- Exoneración del impuesto a la renta en el desarrollo de proyectos públicos en asociación público privada.- Las sociedades que se creen o estructuren en el Ecuador para el desarrollo de proyectos públicos en asociación público-privada ("APP"), gozarán de una exoneración del pago del impuesto a la renta durante el plazo de diez años contados a partir del primer ejercicio fiscal en el que se LEY ORGÁNICA DE INCENTIVOS PARA ASOCIACIONES PÚBLICO-PRIVADAS Y LA INVERSIÓN EXTRANJERA generen ingresos operacionales establecidos dentro del objeto de la APP, de conformidad con el plan económico financiero agregado al contrato de gestión delegada, siempre que el proyecto se realice en uno de los sectores priorizados por el Comité Interinstitucional de Asociaciones Público-Privadas y cumplan con los requisitos fijados en la ley que regula la aplicación de los incentivos de las APP. </w:t>
      </w:r>
    </w:p>
    <w:p w:rsidR="002A7BD6" w:rsidRPr="00165C68" w:rsidRDefault="00165C68" w:rsidP="002A7BD6">
      <w:pPr>
        <w:jc w:val="both"/>
        <w:rPr>
          <w:rFonts w:ascii="Arial" w:hAnsi="Arial" w:cs="Arial"/>
          <w:sz w:val="16"/>
          <w:szCs w:val="16"/>
          <w:lang w:val="es-ES"/>
        </w:rPr>
      </w:pPr>
      <w:r w:rsidRPr="00165C68">
        <w:rPr>
          <w:rFonts w:ascii="Arial" w:hAnsi="Arial" w:cs="Arial"/>
          <w:noProof/>
          <w:sz w:val="16"/>
          <w:szCs w:val="16"/>
          <w:lang w:val="es-EC" w:eastAsia="es-EC"/>
        </w:rPr>
        <w:drawing>
          <wp:anchor distT="0" distB="0" distL="114300" distR="114300" simplePos="0" relativeHeight="251691008" behindDoc="0" locked="0" layoutInCell="1" allowOverlap="1" wp14:anchorId="1A3EF793" wp14:editId="7CAC7CEB">
            <wp:simplePos x="0" y="0"/>
            <wp:positionH relativeFrom="margin">
              <wp:posOffset>-3810</wp:posOffset>
            </wp:positionH>
            <wp:positionV relativeFrom="paragraph">
              <wp:posOffset>67945</wp:posOffset>
            </wp:positionV>
            <wp:extent cx="1733550" cy="1602740"/>
            <wp:effectExtent l="0" t="0" r="0" b="0"/>
            <wp:wrapSquare wrapText="bothSides"/>
            <wp:docPr id="1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puestos[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33550" cy="1602740"/>
                    </a:xfrm>
                    <a:prstGeom prst="rect">
                      <a:avLst/>
                    </a:prstGeom>
                  </pic:spPr>
                </pic:pic>
              </a:graphicData>
            </a:graphic>
            <wp14:sizeRelH relativeFrom="margin">
              <wp14:pctWidth>0</wp14:pctWidth>
            </wp14:sizeRelH>
            <wp14:sizeRelV relativeFrom="margin">
              <wp14:pctHeight>0</wp14:pctHeight>
            </wp14:sizeRelV>
          </wp:anchor>
        </w:drawing>
      </w:r>
      <w:r w:rsidR="002A7BD6" w:rsidRPr="00165C68">
        <w:rPr>
          <w:rFonts w:ascii="Arial" w:hAnsi="Arial" w:cs="Arial"/>
          <w:sz w:val="16"/>
          <w:szCs w:val="16"/>
          <w:lang w:val="es-ES"/>
        </w:rPr>
        <w:t xml:space="preserve">Están exentos del impuesto a la renta durante el plazo de diez años contados a partir del primer ejercicio fiscal en el que se generen los ingresos operacionales establecidos dentro del objeto de la APP, los dividendos o utilidades que las sociedades que se constituyan en el Ecuador para el desarrollo de proyectos públicos en APP, paguen a sus socios o beneficiarios, cualquiera sea su domicilio. </w:t>
      </w:r>
    </w:p>
    <w:p w:rsidR="00850E2F" w:rsidRPr="00165C68" w:rsidRDefault="00B40C41" w:rsidP="002A7BD6">
      <w:pPr>
        <w:jc w:val="both"/>
        <w:rPr>
          <w:rFonts w:ascii="Arial" w:hAnsi="Arial" w:cs="Arial"/>
          <w:b/>
          <w:i/>
          <w:sz w:val="16"/>
          <w:szCs w:val="16"/>
          <w:u w:val="single"/>
          <w:lang w:val="es-ES"/>
        </w:rPr>
      </w:pPr>
      <w:r w:rsidRPr="00165C68">
        <w:rPr>
          <w:rFonts w:ascii="Arial" w:hAnsi="Arial" w:cs="Arial"/>
          <w:noProof/>
          <w:sz w:val="16"/>
          <w:szCs w:val="16"/>
          <w:lang w:val="es-EC" w:eastAsia="es-EC"/>
        </w:rPr>
        <mc:AlternateContent>
          <mc:Choice Requires="wps">
            <w:drawing>
              <wp:inline distT="0" distB="0" distL="0" distR="0" wp14:anchorId="1D382A7A" wp14:editId="0EC249CA">
                <wp:extent cx="3086100" cy="790575"/>
                <wp:effectExtent l="0" t="0" r="0" b="9525"/>
                <wp:docPr id="2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790575"/>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p w:rsidR="00850E2F" w:rsidRPr="002A7BD6" w:rsidRDefault="00850E2F" w:rsidP="00850E2F">
                            <w:pPr>
                              <w:pStyle w:val="Cita"/>
                              <w:rPr>
                                <w:sz w:val="20"/>
                                <w:szCs w:val="20"/>
                                <w:lang w:val="es-ES"/>
                              </w:rPr>
                            </w:pPr>
                            <w:r w:rsidRPr="002A7BD6">
                              <w:rPr>
                                <w:b/>
                                <w:sz w:val="20"/>
                                <w:szCs w:val="20"/>
                                <w:u w:val="single"/>
                                <w:lang w:val="es-ES"/>
                              </w:rPr>
                              <w:t>Comentario:</w:t>
                            </w:r>
                            <w:r w:rsidRPr="002A7BD6">
                              <w:rPr>
                                <w:sz w:val="20"/>
                                <w:szCs w:val="20"/>
                                <w:lang w:val="es-ES"/>
                              </w:rPr>
                              <w:t xml:space="preserve"> </w:t>
                            </w:r>
                            <w:r w:rsidRPr="00850E2F">
                              <w:rPr>
                                <w:sz w:val="20"/>
                                <w:szCs w:val="20"/>
                                <w:lang w:val="es-ES"/>
                              </w:rPr>
                              <w:t>Se incorpora una nueva exoneración de Impuesto a la Renta.</w:t>
                            </w:r>
                          </w:p>
                        </w:txbxContent>
                      </wps:txbx>
                      <wps:bodyPr rot="0" vert="horz" wrap="square" lIns="91440" tIns="91440" rIns="91440" bIns="137160" anchor="ctr" anchorCtr="0">
                        <a:noAutofit/>
                      </wps:bodyPr>
                    </wps:wsp>
                  </a:graphicData>
                </a:graphic>
              </wp:inline>
            </w:drawing>
          </mc:Choice>
          <mc:Fallback>
            <w:pict>
              <v:rect id="_x0000_s1030" style="width:243pt;height:6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" stroked="f" strokeweight="2.25pt">
                <v:fill r:id="rId11" o:title="" recolor="t" rotate="t" type="tile"/>
                <v:imagedata recolortarget="#e5e9ef [3059]"/>
                <v:textbox inset=",7.2pt,,10.8pt">
                  <w:txbxContent>
                    <w:p w:rsidR="00850E2F" w:rsidRPr="002A7BD6" w:rsidRDefault="00850E2F" w:rsidP="00850E2F">
                      <w:pPr>
                        <w:pStyle w:val="Quote"/>
                        <w:rPr>
                          <w:sz w:val="20"/>
                          <w:szCs w:val="20"/>
                          <w:lang w:val="es-ES"/>
                        </w:rPr>
                      </w:pPr>
                      <w:r w:rsidRPr="002A7BD6">
                        <w:rPr>
                          <w:b/>
                          <w:sz w:val="20"/>
                          <w:szCs w:val="20"/>
                          <w:u w:val="single"/>
                          <w:lang w:val="es-ES"/>
                        </w:rPr>
                        <w:t>Comentario:</w:t>
                      </w:r>
                      <w:r w:rsidRPr="002A7BD6">
                        <w:rPr>
                          <w:sz w:val="20"/>
                          <w:szCs w:val="20"/>
                          <w:lang w:val="es-ES"/>
                        </w:rPr>
                        <w:t xml:space="preserve"> </w:t>
                      </w:r>
                      <w:r w:rsidRPr="00850E2F">
                        <w:rPr>
                          <w:sz w:val="20"/>
                          <w:szCs w:val="20"/>
                          <w:lang w:val="es-ES"/>
                        </w:rPr>
                        <w:t>Se incorpora una nueva exoneración de Impuesto a la Renta.</w:t>
                      </w:r>
                    </w:p>
                  </w:txbxContent>
                </v:textbox>
                <w10:anchorlock/>
              </v:rect>
            </w:pict>
          </mc:Fallback>
        </mc:AlternateContent>
      </w:r>
    </w:p>
    <w:p w:rsidR="00165C68" w:rsidRPr="00165C68" w:rsidRDefault="002A7BD6" w:rsidP="002A7BD6">
      <w:pPr>
        <w:jc w:val="both"/>
        <w:rPr>
          <w:rFonts w:ascii="Arial" w:hAnsi="Arial" w:cs="Arial"/>
          <w:sz w:val="16"/>
          <w:szCs w:val="16"/>
          <w:lang w:val="es-ES"/>
        </w:rPr>
      </w:pPr>
      <w:r w:rsidRPr="00165C68">
        <w:rPr>
          <w:rFonts w:ascii="Arial" w:hAnsi="Arial" w:cs="Arial"/>
          <w:b/>
          <w:i/>
          <w:sz w:val="20"/>
          <w:szCs w:val="16"/>
          <w:u w:val="single"/>
          <w:lang w:val="es-ES"/>
        </w:rPr>
        <w:t xml:space="preserve">4. En el numeral 2 del artículo 10 sustituir la frase </w:t>
      </w:r>
      <w:r w:rsidRPr="00165C68">
        <w:rPr>
          <w:rFonts w:ascii="Arial" w:hAnsi="Arial" w:cs="Arial"/>
          <w:sz w:val="16"/>
          <w:szCs w:val="16"/>
          <w:lang w:val="es-ES"/>
        </w:rPr>
        <w:t xml:space="preserve">«las tasas autorizadas por el Directorio del Banco Central del Ecuador», por la siguiente: "la tasa que sea definida mediante Resolución por la Junta de Política y Regulación Monetaria y Financiera". </w:t>
      </w:r>
    </w:p>
    <w:p w:rsidR="002A7BD6" w:rsidRPr="00165C68" w:rsidRDefault="00165C68" w:rsidP="002A7BD6">
      <w:pPr>
        <w:jc w:val="both"/>
        <w:rPr>
          <w:rFonts w:ascii="Arial" w:hAnsi="Arial" w:cs="Arial"/>
          <w:sz w:val="16"/>
          <w:szCs w:val="16"/>
          <w:lang w:val="es-ES"/>
        </w:rPr>
      </w:pPr>
      <w:r w:rsidRPr="00165C68">
        <w:rPr>
          <w:rFonts w:ascii="Arial" w:hAnsi="Arial" w:cs="Arial"/>
          <w:noProof/>
          <w:sz w:val="16"/>
          <w:szCs w:val="16"/>
          <w:lang w:val="es-EC" w:eastAsia="es-EC"/>
        </w:rPr>
        <mc:AlternateContent>
          <mc:Choice Requires="wps">
            <w:drawing>
              <wp:inline distT="0" distB="0" distL="0" distR="0" wp14:anchorId="4E957817" wp14:editId="572CDC8D">
                <wp:extent cx="3086100" cy="1314450"/>
                <wp:effectExtent l="0" t="0" r="0" b="0"/>
                <wp:docPr id="2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314450"/>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p w:rsidR="00165C68" w:rsidRPr="002A7BD6" w:rsidRDefault="00165C68" w:rsidP="00165C68">
                            <w:pPr>
                              <w:pStyle w:val="Cita"/>
                              <w:rPr>
                                <w:sz w:val="20"/>
                                <w:szCs w:val="20"/>
                                <w:lang w:val="es-ES"/>
                              </w:rPr>
                            </w:pPr>
                            <w:r w:rsidRPr="002A7BD6">
                              <w:rPr>
                                <w:b/>
                                <w:sz w:val="20"/>
                                <w:szCs w:val="20"/>
                                <w:u w:val="single"/>
                                <w:lang w:val="es-ES"/>
                              </w:rPr>
                              <w:t>Comentario:</w:t>
                            </w:r>
                            <w:r w:rsidRPr="002A7BD6">
                              <w:rPr>
                                <w:sz w:val="20"/>
                                <w:szCs w:val="20"/>
                                <w:lang w:val="es-ES"/>
                              </w:rPr>
                              <w:t xml:space="preserve"> </w:t>
                            </w:r>
                            <w:r w:rsidRPr="00850E2F">
                              <w:rPr>
                                <w:sz w:val="20"/>
                                <w:szCs w:val="20"/>
                                <w:lang w:val="es-ES"/>
                              </w:rPr>
                              <w:t>La deducibilidad de los intereses financieros será de acuerdo con los límites de tasa  fijados por la Junta de Política y Regulación Monetaria y Financiera</w:t>
                            </w:r>
                            <w:r w:rsidRPr="002A7BD6">
                              <w:rPr>
                                <w:sz w:val="20"/>
                                <w:szCs w:val="20"/>
                                <w:lang w:val="es-ES"/>
                              </w:rPr>
                              <w:t>.</w:t>
                            </w:r>
                          </w:p>
                        </w:txbxContent>
                      </wps:txbx>
                      <wps:bodyPr rot="0" vert="horz" wrap="square" lIns="91440" tIns="91440" rIns="91440" bIns="137160" anchor="ctr" anchorCtr="0">
                        <a:noAutofit/>
                      </wps:bodyPr>
                    </wps:wsp>
                  </a:graphicData>
                </a:graphic>
              </wp:inline>
            </w:drawing>
          </mc:Choice>
          <mc:Fallback>
            <w:pict>
              <v:rect id="_x0000_s1031" style="width:243pt;height:1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" stroked="f" strokeweight="2.25pt">
                <v:fill r:id="rId11" o:title="" recolor="t" rotate="t" type="tile"/>
                <v:imagedata recolortarget="#e5e9ef [3059]"/>
                <v:textbox inset=",7.2pt,,10.8pt">
                  <w:txbxContent>
                    <w:p w:rsidR="00165C68" w:rsidRPr="002A7BD6" w:rsidRDefault="00165C68" w:rsidP="00165C68">
                      <w:pPr>
                        <w:pStyle w:val="Quote"/>
                        <w:rPr>
                          <w:sz w:val="20"/>
                          <w:szCs w:val="20"/>
                          <w:lang w:val="es-ES"/>
                        </w:rPr>
                      </w:pPr>
                      <w:r w:rsidRPr="002A7BD6">
                        <w:rPr>
                          <w:b/>
                          <w:sz w:val="20"/>
                          <w:szCs w:val="20"/>
                          <w:u w:val="single"/>
                          <w:lang w:val="es-ES"/>
                        </w:rPr>
                        <w:t>Comentario:</w:t>
                      </w:r>
                      <w:r w:rsidRPr="002A7BD6">
                        <w:rPr>
                          <w:sz w:val="20"/>
                          <w:szCs w:val="20"/>
                          <w:lang w:val="es-ES"/>
                        </w:rPr>
                        <w:t xml:space="preserve"> </w:t>
                      </w:r>
                      <w:r w:rsidRPr="00850E2F">
                        <w:rPr>
                          <w:sz w:val="20"/>
                          <w:szCs w:val="20"/>
                          <w:lang w:val="es-ES"/>
                        </w:rPr>
                        <w:t>La deducibilidad de los intereses financieros será de acuerdo con los límites de tasa  fijados por la Junta de Política y Regulación Monetaria y Financiera</w:t>
                      </w:r>
                      <w:r w:rsidRPr="002A7BD6">
                        <w:rPr>
                          <w:sz w:val="20"/>
                          <w:szCs w:val="20"/>
                          <w:lang w:val="es-ES"/>
                        </w:rPr>
                        <w:t>.</w:t>
                      </w:r>
                    </w:p>
                  </w:txbxContent>
                </v:textbox>
                <w10:anchorlock/>
              </v:rect>
            </w:pict>
          </mc:Fallback>
        </mc:AlternateContent>
      </w:r>
    </w:p>
    <w:p w:rsidR="00850E2F" w:rsidRPr="00165C68" w:rsidRDefault="00850E2F" w:rsidP="002A7BD6">
      <w:pPr>
        <w:jc w:val="both"/>
        <w:rPr>
          <w:rFonts w:ascii="Arial" w:hAnsi="Arial" w:cs="Arial"/>
          <w:b/>
          <w:i/>
          <w:sz w:val="16"/>
          <w:szCs w:val="16"/>
          <w:u w:val="single"/>
          <w:lang w:val="es-ES"/>
        </w:rPr>
      </w:pP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5. Sustitúyase el numeral 3 del artículo 13, por el siguiente: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"3.- Los pagos originados en financiamiento externo a instituciones financieras del exterior, legalmente establecidas como tales, o entidades no financieras especializadas calificadas por los entes de control correspondientes en el Ecuador; así como los intereses de créditos externos conferidos de gobierno a gobierno o por organismos multilaterales. En estos casos, los intereses no podrán </w:t>
      </w:r>
      <w:r w:rsidRPr="00165C68">
        <w:rPr>
          <w:rFonts w:ascii="Arial" w:hAnsi="Arial" w:cs="Arial"/>
          <w:sz w:val="16"/>
          <w:szCs w:val="16"/>
          <w:lang w:val="es-ES"/>
        </w:rPr>
        <w:lastRenderedPageBreak/>
        <w:t xml:space="preserve">exceder de las tasas de interés máximas referenciales fijadas por la Junta de Política y Regulación Monetaria y Financiera a la fecha del registro del crédito o su novación; y si de hecho las excedieren, para que dicha porción sea deducible, se deberá efectuar una retención en la fuente equivalente a la tarifa general de impuesto a la renta de sociedades sobre la misma.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En los casos de intereses pagados al exterior no contemplados en el inciso anterior, se deberá realizar una retención en la fuente equivalente a la tarifa general de impuesto a la renta de sociedades, cualquiera sea la residencia del financista.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La falta de registro de las operaciones de financiamiento externo, conforme a las disposiciones emitidas por la Junta de Política y Regulación Monetaria y Financiera, determinará que no se puedan deducir los costos financieros del crédito." </w:t>
      </w:r>
    </w:p>
    <w:p w:rsidR="00165C68" w:rsidRPr="00165C68" w:rsidRDefault="00165C68" w:rsidP="002A7BD6">
      <w:pPr>
        <w:jc w:val="both"/>
        <w:rPr>
          <w:rFonts w:ascii="Arial" w:hAnsi="Arial" w:cs="Arial"/>
          <w:sz w:val="16"/>
          <w:szCs w:val="16"/>
          <w:lang w:val="es-ES"/>
        </w:rPr>
      </w:pPr>
      <w:r w:rsidRPr="00165C68">
        <w:rPr>
          <w:rFonts w:ascii="Arial" w:hAnsi="Arial" w:cs="Arial"/>
          <w:noProof/>
          <w:sz w:val="16"/>
          <w:szCs w:val="16"/>
          <w:lang w:val="es-EC" w:eastAsia="es-EC"/>
        </w:rPr>
        <mc:AlternateContent>
          <mc:Choice Requires="wps">
            <w:drawing>
              <wp:inline distT="0" distB="0" distL="0" distR="0" wp14:anchorId="72B1052E" wp14:editId="0C209E2A">
                <wp:extent cx="3086100" cy="1857375"/>
                <wp:effectExtent l="0" t="0" r="0" b="9525"/>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857375"/>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p w:rsidR="00165C68" w:rsidRPr="00165C68" w:rsidRDefault="00165C68" w:rsidP="00165C68">
                            <w:pPr>
                              <w:pStyle w:val="Cita"/>
                              <w:rPr>
                                <w:sz w:val="20"/>
                                <w:szCs w:val="20"/>
                                <w:lang w:val="es-ES"/>
                              </w:rPr>
                            </w:pPr>
                            <w:r w:rsidRPr="002A7BD6">
                              <w:rPr>
                                <w:b/>
                                <w:sz w:val="20"/>
                                <w:szCs w:val="20"/>
                                <w:u w:val="single"/>
                                <w:lang w:val="es-ES"/>
                              </w:rPr>
                              <w:t>Comentario:</w:t>
                            </w:r>
                            <w:r w:rsidRPr="002A7BD6">
                              <w:rPr>
                                <w:sz w:val="20"/>
                                <w:szCs w:val="20"/>
                                <w:lang w:val="es-ES"/>
                              </w:rPr>
                              <w:t xml:space="preserve"> </w:t>
                            </w:r>
                            <w:r w:rsidRPr="00165C68">
                              <w:rPr>
                                <w:sz w:val="20"/>
                                <w:szCs w:val="20"/>
                                <w:lang w:val="es-ES"/>
                              </w:rPr>
                              <w:t>No se realizará retención en la fuente por pagos al exterior a los intereses financieros por préstamos concedidos por cualquier institución financiera del exterior y entidades no financieras especializadas calificadas por los entes de control correspondientes en el Ecuador. (</w:t>
                            </w:r>
                            <w:r w:rsidRPr="00165C68">
                              <w:rPr>
                                <w:b/>
                                <w:sz w:val="20"/>
                                <w:szCs w:val="20"/>
                                <w:lang w:val="es-ES"/>
                              </w:rPr>
                              <w:t>Paraíso Fiscal o no</w:t>
                            </w:r>
                            <w:r w:rsidRPr="00165C68">
                              <w:rPr>
                                <w:sz w:val="20"/>
                                <w:szCs w:val="20"/>
                                <w:lang w:val="es-ES"/>
                              </w:rPr>
                              <w:t>)</w:t>
                            </w:r>
                          </w:p>
                          <w:p w:rsidR="00165C68" w:rsidRPr="002A7BD6" w:rsidRDefault="00165C68" w:rsidP="00165C68">
                            <w:pPr>
                              <w:pStyle w:val="Cita"/>
                              <w:rPr>
                                <w:sz w:val="20"/>
                                <w:szCs w:val="20"/>
                                <w:lang w:val="es-ES"/>
                              </w:rPr>
                            </w:pPr>
                            <w:r w:rsidRPr="00850E2F">
                              <w:rPr>
                                <w:sz w:val="20"/>
                                <w:szCs w:val="20"/>
                                <w:lang w:val="es-ES"/>
                              </w:rPr>
                              <w:t>.</w:t>
                            </w:r>
                          </w:p>
                        </w:txbxContent>
                      </wps:txbx>
                      <wps:bodyPr rot="0" vert="horz" wrap="square" lIns="91440" tIns="91440" rIns="91440" bIns="137160" anchor="ctr" anchorCtr="0">
                        <a:noAutofit/>
                      </wps:bodyPr>
                    </wps:wsp>
                  </a:graphicData>
                </a:graphic>
              </wp:inline>
            </w:drawing>
          </mc:Choice>
          <mc:Fallback>
            <w:pict>
              <v:rect id="_x0000_s1032" style="width:243pt;height:146.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" stroked="f" strokeweight="2.25pt">
                <v:fill r:id="rId11" o:title="" recolor="t" rotate="t" type="tile"/>
                <v:imagedata recolortarget="#e5e9ef [3059]"/>
                <v:textbox inset=",7.2pt,,10.8pt">
                  <w:txbxContent>
                    <w:p w:rsidR="00165C68" w:rsidRPr="00165C68" w:rsidRDefault="00165C68" w:rsidP="00165C68">
                      <w:pPr>
                        <w:pStyle w:val="Quote"/>
                        <w:rPr>
                          <w:sz w:val="20"/>
                          <w:szCs w:val="20"/>
                          <w:lang w:val="es-ES"/>
                        </w:rPr>
                      </w:pPr>
                      <w:r w:rsidRPr="002A7BD6">
                        <w:rPr>
                          <w:b/>
                          <w:sz w:val="20"/>
                          <w:szCs w:val="20"/>
                          <w:u w:val="single"/>
                          <w:lang w:val="es-ES"/>
                        </w:rPr>
                        <w:t>Comentario:</w:t>
                      </w:r>
                      <w:r w:rsidRPr="002A7BD6">
                        <w:rPr>
                          <w:sz w:val="20"/>
                          <w:szCs w:val="20"/>
                          <w:lang w:val="es-ES"/>
                        </w:rPr>
                        <w:t xml:space="preserve"> </w:t>
                      </w:r>
                      <w:r w:rsidRPr="00165C68">
                        <w:rPr>
                          <w:sz w:val="20"/>
                          <w:szCs w:val="20"/>
                          <w:lang w:val="es-ES"/>
                        </w:rPr>
                        <w:t>No se realizará retención en la fuente por pagos al exterior a los intereses financieros por préstamos concedidos por cualquier institución financiera del exterior y entidades no financieras especializadas calificadas por los entes de control correspondientes en el Ecuador. (</w:t>
                      </w:r>
                      <w:r w:rsidRPr="00165C68">
                        <w:rPr>
                          <w:b/>
                          <w:sz w:val="20"/>
                          <w:szCs w:val="20"/>
                          <w:lang w:val="es-ES"/>
                        </w:rPr>
                        <w:t>Paraíso Fiscal o no</w:t>
                      </w:r>
                      <w:r w:rsidRPr="00165C68">
                        <w:rPr>
                          <w:sz w:val="20"/>
                          <w:szCs w:val="20"/>
                          <w:lang w:val="es-ES"/>
                        </w:rPr>
                        <w:t>)</w:t>
                      </w:r>
                    </w:p>
                    <w:p w:rsidR="00165C68" w:rsidRPr="002A7BD6" w:rsidRDefault="00165C68" w:rsidP="00165C68">
                      <w:pPr>
                        <w:pStyle w:val="Quote"/>
                        <w:rPr>
                          <w:sz w:val="20"/>
                          <w:szCs w:val="20"/>
                          <w:lang w:val="es-ES"/>
                        </w:rPr>
                      </w:pPr>
                      <w:r w:rsidRPr="00850E2F">
                        <w:rPr>
                          <w:sz w:val="20"/>
                          <w:szCs w:val="20"/>
                          <w:lang w:val="es-ES"/>
                        </w:rPr>
                        <w:t>.</w:t>
                      </w:r>
                    </w:p>
                  </w:txbxContent>
                </v:textbox>
                <w10:anchorlock/>
              </v:rect>
            </w:pict>
          </mc:Fallback>
        </mc:AlternateContent>
      </w:r>
    </w:p>
    <w:p w:rsidR="002A7BD6" w:rsidRPr="00165C68" w:rsidRDefault="002A7BD6" w:rsidP="002A7BD6">
      <w:pPr>
        <w:jc w:val="both"/>
        <w:rPr>
          <w:rFonts w:ascii="Arial" w:hAnsi="Arial" w:cs="Arial"/>
          <w:sz w:val="16"/>
          <w:szCs w:val="16"/>
          <w:lang w:val="es-ES"/>
        </w:rPr>
      </w:pP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6. Añádase a continuación del punto final del cuarto inciso del artículo 39 el siguiente texto que formará parte de dicho inciso: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"Para el caso de transacciones realizadas en bolsas de valores del Ecuador el impuesto contemplado será retenido en la fuente de conformidad con lo dispuesto en el Reglamento." </w:t>
      </w:r>
    </w:p>
    <w:p w:rsidR="00165C68" w:rsidRPr="00165C68" w:rsidRDefault="00165C68" w:rsidP="002A7BD6">
      <w:pPr>
        <w:jc w:val="both"/>
        <w:rPr>
          <w:rFonts w:ascii="Arial" w:hAnsi="Arial" w:cs="Arial"/>
          <w:sz w:val="16"/>
          <w:szCs w:val="16"/>
          <w:lang w:val="es-ES"/>
        </w:rPr>
      </w:pP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7. Añádase a continuación del punto final del quinto inciso del artículo 39 el siguiente texto que formará parte de dicho inciso: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"Dicha sociedad no será sustituto del contribuyente cuando la transacción se hubiese realizado en bolsas de valores del Ecuador."</w:t>
      </w:r>
    </w:p>
    <w:p w:rsidR="00165C68" w:rsidRPr="00165C68" w:rsidRDefault="00165C68" w:rsidP="002A7BD6">
      <w:pPr>
        <w:jc w:val="both"/>
        <w:rPr>
          <w:rFonts w:ascii="Arial" w:hAnsi="Arial" w:cs="Arial"/>
          <w:sz w:val="16"/>
          <w:szCs w:val="16"/>
          <w:lang w:val="es-ES"/>
        </w:rPr>
      </w:pP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8. Añádase a continuación del quinto inciso del artículo 39 los siguientes incisos: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"Cuando se enajenan derechos representativos de capital de una sociedad no residente en el Ecuador que es propietaria directa o indirectamente de una sociedad residente o establecimiento permanente en el Ecuador; se entenderá producida la enajenación indirecta siempre que hubiere ocurrido de manera concurrente lo siguiente: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lastRenderedPageBreak/>
        <w:t xml:space="preserve">1. Que en cualquier momento dentro del ejercicio fiscal en que se produzca la enajenación, el valor real de los derechos representativos de capital de la sociedad residente o establecimiento permanente en Ecuador representen directa o indirectamente el 20% o más del valor real de todos los derechos representativos de la sociedad no residente en el Ecuador.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2. Que dentro del mismo ejercicio fiscal, o durante los doce meses anteriores a la transacción, la enajenación o enajenaciones de derechos representativos de capital de la sociedad no residente, cuyo enajenante sea una misma persona natural o sociedad o sus partes relacionadas, correspondan directa o indirectamente a un monto acumulado superior a trescientas fracciones básicas desgravadas de impuesto a la renta de personas naturales. Este monto se ampliará a mil fracciones básicas desgravadas de impuesto a la renta de personas naturales, cuando dicha transacción no supere el 10% del total del capital accionario. </w:t>
      </w:r>
    </w:p>
    <w:p w:rsidR="002A7BD6" w:rsidRPr="00165C68" w:rsidRDefault="00165C68" w:rsidP="002A7BD6">
      <w:pPr>
        <w:jc w:val="both"/>
        <w:rPr>
          <w:rFonts w:ascii="Arial" w:hAnsi="Arial" w:cs="Arial"/>
          <w:sz w:val="16"/>
          <w:szCs w:val="16"/>
          <w:lang w:val="es-ES"/>
        </w:rPr>
      </w:pPr>
      <w:r w:rsidRPr="00165C68">
        <w:rPr>
          <w:rFonts w:ascii="Arial" w:hAnsi="Arial" w:cs="Arial"/>
          <w:noProof/>
          <w:sz w:val="16"/>
          <w:szCs w:val="16"/>
          <w:lang w:val="es-EC" w:eastAsia="es-EC"/>
        </w:rPr>
        <w:drawing>
          <wp:anchor distT="0" distB="0" distL="114300" distR="114300" simplePos="0" relativeHeight="251687936" behindDoc="1" locked="0" layoutInCell="1" allowOverlap="1" wp14:anchorId="41947E0B" wp14:editId="78B43785">
            <wp:simplePos x="0" y="0"/>
            <wp:positionH relativeFrom="margin">
              <wp:posOffset>-3810</wp:posOffset>
            </wp:positionH>
            <wp:positionV relativeFrom="paragraph">
              <wp:posOffset>25400</wp:posOffset>
            </wp:positionV>
            <wp:extent cx="2152650" cy="1591945"/>
            <wp:effectExtent l="0" t="0" r="0" b="8255"/>
            <wp:wrapTight wrapText="bothSides">
              <wp:wrapPolygon edited="0">
                <wp:start x="0" y="0"/>
                <wp:lineTo x="0" y="21454"/>
                <wp:lineTo x="21409" y="21454"/>
                <wp:lineTo x="21409" y="0"/>
                <wp:lineTo x="0" y="0"/>
              </wp:wrapPolygon>
            </wp:wrapTight>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puestos-2[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2650" cy="1591945"/>
                    </a:xfrm>
                    <a:prstGeom prst="rect">
                      <a:avLst/>
                    </a:prstGeom>
                  </pic:spPr>
                </pic:pic>
              </a:graphicData>
            </a:graphic>
            <wp14:sizeRelH relativeFrom="margin">
              <wp14:pctWidth>0</wp14:pctWidth>
            </wp14:sizeRelH>
            <wp14:sizeRelV relativeFrom="margin">
              <wp14:pctHeight>0</wp14:pctHeight>
            </wp14:sizeRelV>
          </wp:anchor>
        </w:drawing>
      </w:r>
      <w:r w:rsidR="002A7BD6" w:rsidRPr="00165C68">
        <w:rPr>
          <w:rFonts w:ascii="Arial" w:hAnsi="Arial" w:cs="Arial"/>
          <w:sz w:val="16"/>
          <w:szCs w:val="16"/>
          <w:lang w:val="es-ES"/>
        </w:rPr>
        <w:t xml:space="preserve">Lo referido en los numerales 1 y 2 anteriores no aplicará si existe un beneficiario efectivo que sea residente fiscal del Ecuador o cuando la sociedad que se enajena sea residente o establecida en un paraíso fiscal o jurisdicción de menor imposición, en los términos establecidos en el Reglamento." </w:t>
      </w:r>
    </w:p>
    <w:p w:rsidR="002A7BD6" w:rsidRPr="00165C68" w:rsidRDefault="00165C68" w:rsidP="002A7BD6">
      <w:pPr>
        <w:jc w:val="both"/>
        <w:rPr>
          <w:rFonts w:ascii="Arial" w:hAnsi="Arial" w:cs="Arial"/>
          <w:sz w:val="16"/>
          <w:szCs w:val="16"/>
          <w:lang w:val="es-ES"/>
        </w:rPr>
      </w:pPr>
      <w:r w:rsidRPr="00165C68">
        <w:rPr>
          <w:rFonts w:ascii="Arial" w:hAnsi="Arial" w:cs="Arial"/>
          <w:noProof/>
          <w:sz w:val="16"/>
          <w:szCs w:val="16"/>
          <w:lang w:val="es-EC" w:eastAsia="es-EC"/>
        </w:rPr>
        <mc:AlternateContent>
          <mc:Choice Requires="wps">
            <w:drawing>
              <wp:inline distT="0" distB="0" distL="0" distR="0" wp14:anchorId="34C2ED1E" wp14:editId="350F5EDB">
                <wp:extent cx="3086100" cy="3543300"/>
                <wp:effectExtent l="0" t="0" r="0" b="0"/>
                <wp:docPr id="1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3543300"/>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p w:rsidR="00165C68" w:rsidRPr="00165C68" w:rsidRDefault="00165C68" w:rsidP="00165C68">
                            <w:pPr>
                              <w:pStyle w:val="Cita"/>
                              <w:spacing w:before="0" w:after="0" w:line="240" w:lineRule="auto"/>
                              <w:ind w:left="142" w:right="142"/>
                              <w:rPr>
                                <w:sz w:val="20"/>
                                <w:szCs w:val="20"/>
                                <w:lang w:val="es-ES"/>
                              </w:rPr>
                            </w:pPr>
                            <w:r w:rsidRPr="002A7BD6">
                              <w:rPr>
                                <w:b/>
                                <w:sz w:val="20"/>
                                <w:szCs w:val="20"/>
                                <w:u w:val="single"/>
                                <w:lang w:val="es-ES"/>
                              </w:rPr>
                              <w:t>Comentario:</w:t>
                            </w:r>
                            <w:r w:rsidRPr="002A7BD6">
                              <w:rPr>
                                <w:sz w:val="20"/>
                                <w:szCs w:val="20"/>
                                <w:lang w:val="es-ES"/>
                              </w:rPr>
                              <w:t xml:space="preserve"> </w:t>
                            </w:r>
                            <w:r w:rsidRPr="00165C68">
                              <w:rPr>
                                <w:sz w:val="20"/>
                                <w:szCs w:val="20"/>
                                <w:lang w:val="es-ES"/>
                              </w:rPr>
                              <w:t>En el artículo 39 inciso 4 de la LRTI, se establece que las sociedades y personas naturales no residentes que enajenen acciones o derechos representativos de capital pagarán la tarifa única del 22%. Si la transacción se realiza a través de las bolsas de valores del Ecuador,  el impuesto causado será retenido conforme a lo dispuesto al Reglamento.</w:t>
                            </w:r>
                          </w:p>
                          <w:p w:rsidR="00165C68" w:rsidRPr="00165C68" w:rsidRDefault="00165C68" w:rsidP="00165C68">
                            <w:pPr>
                              <w:pStyle w:val="Cita"/>
                              <w:spacing w:before="0" w:after="0" w:line="240" w:lineRule="auto"/>
                              <w:ind w:left="142" w:right="142"/>
                              <w:rPr>
                                <w:sz w:val="20"/>
                                <w:szCs w:val="20"/>
                                <w:lang w:val="es-ES"/>
                              </w:rPr>
                            </w:pPr>
                            <w:r w:rsidRPr="00165C68">
                              <w:rPr>
                                <w:sz w:val="20"/>
                                <w:szCs w:val="20"/>
                                <w:lang w:val="es-ES"/>
                              </w:rPr>
                              <w:t>En el inciso 5 del mencionado artículo se crea el concepto de contribuyente sustituto. La sociedad residente cuyas acciones son vendidas es quien debe cumplir con el impuesto de los accionistas no residentes, la reforma elimina este concepto de sustituto si la transacción se realiza mediante las bolsas de valores del Ecuador.</w:t>
                            </w:r>
                          </w:p>
                          <w:p w:rsidR="00165C68" w:rsidRPr="002A7BD6" w:rsidRDefault="00165C68" w:rsidP="00165C68">
                            <w:pPr>
                              <w:pStyle w:val="Cita"/>
                              <w:spacing w:before="0" w:after="0" w:line="240" w:lineRule="auto"/>
                              <w:ind w:left="142" w:right="142"/>
                              <w:rPr>
                                <w:sz w:val="20"/>
                                <w:szCs w:val="20"/>
                                <w:lang w:val="es-ES"/>
                              </w:rPr>
                            </w:pPr>
                            <w:r w:rsidRPr="00165C68">
                              <w:rPr>
                                <w:sz w:val="20"/>
                                <w:szCs w:val="20"/>
                                <w:lang w:val="es-ES"/>
                              </w:rPr>
                              <w:t>La reforma establece además, el concepto de enajenación indirecta para efectos del pago del Impuesto a la Renta</w:t>
                            </w:r>
                            <w:r>
                              <w:rPr>
                                <w:sz w:val="20"/>
                                <w:szCs w:val="20"/>
                                <w:lang w:val="es-ES"/>
                              </w:rPr>
                              <w:t>.</w:t>
                            </w:r>
                          </w:p>
                        </w:txbxContent>
                      </wps:txbx>
                      <wps:bodyPr rot="0" vert="horz" wrap="square" lIns="91440" tIns="91440" rIns="91440" bIns="137160" anchor="ctr" anchorCtr="0">
                        <a:noAutofit/>
                      </wps:bodyPr>
                    </wps:wsp>
                  </a:graphicData>
                </a:graphic>
              </wp:inline>
            </w:drawing>
          </mc:Choice>
          <mc:Fallback>
            <w:pict>
              <v:rect id="_x0000_s1033" style="width:243pt;height:2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" stroked="f" strokeweight="2.25pt">
                <v:fill r:id="rId11" o:title="" recolor="t" rotate="t" type="tile"/>
                <v:imagedata recolortarget="#e5e9ef [3059]"/>
                <v:textbox inset=",7.2pt,,10.8pt">
                  <w:txbxContent>
                    <w:p w:rsidR="00165C68" w:rsidRPr="00165C68" w:rsidRDefault="00165C68" w:rsidP="00165C68">
                      <w:pPr>
                        <w:pStyle w:val="Quote"/>
                        <w:spacing w:before="0" w:after="0" w:line="240" w:lineRule="auto"/>
                        <w:ind w:left="142" w:right="142"/>
                        <w:rPr>
                          <w:sz w:val="20"/>
                          <w:szCs w:val="20"/>
                          <w:lang w:val="es-ES"/>
                        </w:rPr>
                      </w:pPr>
                      <w:r w:rsidRPr="002A7BD6">
                        <w:rPr>
                          <w:b/>
                          <w:sz w:val="20"/>
                          <w:szCs w:val="20"/>
                          <w:u w:val="single"/>
                          <w:lang w:val="es-ES"/>
                        </w:rPr>
                        <w:t>Comentario:</w:t>
                      </w:r>
                      <w:r w:rsidRPr="002A7BD6">
                        <w:rPr>
                          <w:sz w:val="20"/>
                          <w:szCs w:val="20"/>
                          <w:lang w:val="es-ES"/>
                        </w:rPr>
                        <w:t xml:space="preserve"> </w:t>
                      </w:r>
                      <w:r w:rsidRPr="00165C68">
                        <w:rPr>
                          <w:sz w:val="20"/>
                          <w:szCs w:val="20"/>
                          <w:lang w:val="es-ES"/>
                        </w:rPr>
                        <w:t xml:space="preserve">En el artículo 39 inciso 4 de la </w:t>
                      </w:r>
                      <w:proofErr w:type="spellStart"/>
                      <w:r w:rsidRPr="00165C68">
                        <w:rPr>
                          <w:sz w:val="20"/>
                          <w:szCs w:val="20"/>
                          <w:lang w:val="es-ES"/>
                        </w:rPr>
                        <w:t>LRTI</w:t>
                      </w:r>
                      <w:proofErr w:type="spellEnd"/>
                      <w:r w:rsidRPr="00165C68">
                        <w:rPr>
                          <w:sz w:val="20"/>
                          <w:szCs w:val="20"/>
                          <w:lang w:val="es-ES"/>
                        </w:rPr>
                        <w:t>, se establece que las sociedades y personas naturales no residentes que enajenen acciones o derechos representativos de capital pagarán la tarifa única del 22%. Si la transacción se realiza a través de las bolsas de valores del Ecuador,  el impuesto causado será retenido conforme a lo dispuesto al Reglamento.</w:t>
                      </w:r>
                    </w:p>
                    <w:p w:rsidR="00165C68" w:rsidRPr="00165C68" w:rsidRDefault="00165C68" w:rsidP="00165C68">
                      <w:pPr>
                        <w:pStyle w:val="Quote"/>
                        <w:spacing w:before="0" w:after="0" w:line="240" w:lineRule="auto"/>
                        <w:ind w:left="142" w:right="142"/>
                        <w:rPr>
                          <w:sz w:val="20"/>
                          <w:szCs w:val="20"/>
                          <w:lang w:val="es-ES"/>
                        </w:rPr>
                      </w:pPr>
                      <w:r w:rsidRPr="00165C68">
                        <w:rPr>
                          <w:sz w:val="20"/>
                          <w:szCs w:val="20"/>
                          <w:lang w:val="es-ES"/>
                        </w:rPr>
                        <w:t>En el inciso 5 del mencionado artículo se crea el concepto de contribuyente sustituto. La sociedad residente cuyas acciones son vendidas es quien debe cumplir con el impuesto de los accionistas no residentes, la reforma elimina este concepto de sustituto si la transacción se realiza mediante las bolsas de valores del Ecuador.</w:t>
                      </w:r>
                    </w:p>
                    <w:p w:rsidR="00165C68" w:rsidRPr="002A7BD6" w:rsidRDefault="00165C68" w:rsidP="00165C68">
                      <w:pPr>
                        <w:pStyle w:val="Quote"/>
                        <w:spacing w:before="0" w:after="0" w:line="240" w:lineRule="auto"/>
                        <w:ind w:left="142" w:right="142"/>
                        <w:rPr>
                          <w:sz w:val="20"/>
                          <w:szCs w:val="20"/>
                          <w:lang w:val="es-ES"/>
                        </w:rPr>
                      </w:pPr>
                      <w:r w:rsidRPr="00165C68">
                        <w:rPr>
                          <w:sz w:val="20"/>
                          <w:szCs w:val="20"/>
                          <w:lang w:val="es-ES"/>
                        </w:rPr>
                        <w:t>La reforma establece además, el concepto de enajenación indirecta para efectos del pago del Impuesto a la Renta</w:t>
                      </w:r>
                      <w:r>
                        <w:rPr>
                          <w:sz w:val="20"/>
                          <w:szCs w:val="20"/>
                          <w:lang w:val="es-ES"/>
                        </w:rPr>
                        <w:t>.</w:t>
                      </w:r>
                    </w:p>
                  </w:txbxContent>
                </v:textbox>
                <w10:anchorlock/>
              </v:rect>
            </w:pict>
          </mc:Fallback>
        </mc:AlternateContent>
      </w:r>
    </w:p>
    <w:p w:rsidR="00165C68" w:rsidRPr="00165C68" w:rsidRDefault="00165C68" w:rsidP="002A7BD6">
      <w:pPr>
        <w:jc w:val="both"/>
        <w:rPr>
          <w:rFonts w:ascii="Arial" w:hAnsi="Arial" w:cs="Arial"/>
          <w:b/>
          <w:i/>
          <w:sz w:val="16"/>
          <w:szCs w:val="16"/>
          <w:u w:val="single"/>
          <w:lang w:val="es-ES"/>
        </w:rPr>
      </w:pP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9. Sustitúyase el número 16 del artículo 55, por el siguiente: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lastRenderedPageBreak/>
        <w:t xml:space="preserve">"16. El oro adquirido por el Banco Central del Ecuador en forma directa o por intermedio de agentes económicos públicos o privados, debidamente autorizados por el propio Banco. A partir del 1 de enero de 2018, la misma tarifa será aplicada al oro adquirido por titulares de concesiones mineras o personas naturales o jurídicas que cuenten con licencia de comercialización otorgada por el ministerio sectorial." </w:t>
      </w: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10. Agréguese a continuación del primer artículo innumerado agregado a continuación del artículo 63, el siguiente:  </w:t>
      </w:r>
    </w:p>
    <w:p w:rsidR="002A7BD6"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"Art. (...).- Retención de IVA en proyectos de asociaciones público-privada.- Las sociedades creadas para el desarrollo de proyectos públicos bajo la modalidad de asociación público-privada actuarán como agentes de retención de IVA en los mismos términos y bajo los mismos porcentajes que las empresas públicas." </w:t>
      </w:r>
    </w:p>
    <w:p w:rsidR="00F20655" w:rsidRDefault="00F20655" w:rsidP="00F20655">
      <w:pPr>
        <w:jc w:val="center"/>
        <w:rPr>
          <w:rFonts w:ascii="Arial" w:hAnsi="Arial" w:cs="Arial"/>
          <w:sz w:val="16"/>
          <w:szCs w:val="16"/>
          <w:lang w:val="es-ES"/>
        </w:rPr>
      </w:pPr>
      <w:r w:rsidRPr="00165C68">
        <w:rPr>
          <w:rFonts w:ascii="Arial" w:hAnsi="Arial" w:cs="Arial"/>
          <w:noProof/>
          <w:sz w:val="16"/>
          <w:szCs w:val="16"/>
          <w:lang w:val="es-EC" w:eastAsia="es-EC"/>
        </w:rPr>
        <w:drawing>
          <wp:inline distT="0" distB="0" distL="0" distR="0">
            <wp:extent cx="1802130" cy="1724025"/>
            <wp:effectExtent l="0" t="0" r="7620" b="9525"/>
            <wp:docPr id="1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VA_EL_RINCON_TRIBUTARIO_impuestos[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02130" cy="1724025"/>
                    </a:xfrm>
                    <a:prstGeom prst="rect">
                      <a:avLst/>
                    </a:prstGeom>
                  </pic:spPr>
                </pic:pic>
              </a:graphicData>
            </a:graphic>
          </wp:inline>
        </w:drawing>
      </w:r>
    </w:p>
    <w:p w:rsidR="00F20655" w:rsidRDefault="00F20655" w:rsidP="002A7BD6">
      <w:pPr>
        <w:jc w:val="both"/>
        <w:rPr>
          <w:rFonts w:ascii="Arial" w:hAnsi="Arial" w:cs="Arial"/>
          <w:sz w:val="16"/>
          <w:szCs w:val="16"/>
          <w:lang w:val="es-ES"/>
        </w:rPr>
      </w:pPr>
      <w:r w:rsidRPr="00165C68">
        <w:rPr>
          <w:rFonts w:ascii="Arial" w:hAnsi="Arial" w:cs="Arial"/>
          <w:noProof/>
          <w:sz w:val="16"/>
          <w:szCs w:val="16"/>
          <w:lang w:val="es-EC" w:eastAsia="es-EC"/>
        </w:rPr>
        <mc:AlternateContent>
          <mc:Choice Requires="wps">
            <w:drawing>
              <wp:inline distT="0" distB="0" distL="0" distR="0" wp14:anchorId="66F91538" wp14:editId="7CAFF0F0">
                <wp:extent cx="3086100" cy="914400"/>
                <wp:effectExtent l="0" t="0" r="0" b="0"/>
                <wp:docPr id="20"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914400"/>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p w:rsidR="00F20655" w:rsidRPr="002A7BD6" w:rsidRDefault="00F20655" w:rsidP="00F20655">
                            <w:pPr>
                              <w:pStyle w:val="Cita"/>
                              <w:rPr>
                                <w:sz w:val="20"/>
                                <w:szCs w:val="20"/>
                                <w:lang w:val="es-ES"/>
                              </w:rPr>
                            </w:pPr>
                            <w:r w:rsidRPr="002A7BD6">
                              <w:rPr>
                                <w:b/>
                                <w:sz w:val="20"/>
                                <w:szCs w:val="20"/>
                                <w:u w:val="single"/>
                                <w:lang w:val="es-ES"/>
                              </w:rPr>
                              <w:t>Comentario:</w:t>
                            </w:r>
                            <w:r w:rsidRPr="002A7BD6">
                              <w:rPr>
                                <w:sz w:val="20"/>
                                <w:szCs w:val="20"/>
                                <w:lang w:val="es-ES"/>
                              </w:rPr>
                              <w:t xml:space="preserve"> </w:t>
                            </w:r>
                            <w:r w:rsidRPr="00F20655">
                              <w:rPr>
                                <w:sz w:val="20"/>
                                <w:szCs w:val="20"/>
                                <w:lang w:val="es-ES"/>
                              </w:rPr>
                              <w:t>El artículo 55 de la LRTI establece la transferencia de bienes muebles tarifa 0%.</w:t>
                            </w:r>
                          </w:p>
                        </w:txbxContent>
                      </wps:txbx>
                      <wps:bodyPr rot="0" vert="horz" wrap="square" lIns="91440" tIns="91440" rIns="91440" bIns="137160" anchor="ctr" anchorCtr="0">
                        <a:noAutofit/>
                      </wps:bodyPr>
                    </wps:wsp>
                  </a:graphicData>
                </a:graphic>
              </wp:inline>
            </w:drawing>
          </mc:Choice>
          <mc:Fallback>
            <w:pict>
              <v:rect id="_x0000_s1034" style="width:243pt;height:1in;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" stroked="f" strokeweight="2.25pt">
                <v:fill r:id="rId11" o:title="" recolor="t" rotate="t" type="tile"/>
                <v:imagedata recolortarget="#e5e9ef [3059]"/>
                <v:textbox inset=",7.2pt,,10.8pt">
                  <w:txbxContent>
                    <w:p w:rsidR="00F20655" w:rsidRPr="002A7BD6" w:rsidRDefault="00F20655" w:rsidP="00F20655">
                      <w:pPr>
                        <w:pStyle w:val="Quote"/>
                        <w:rPr>
                          <w:sz w:val="20"/>
                          <w:szCs w:val="20"/>
                          <w:lang w:val="es-ES"/>
                        </w:rPr>
                      </w:pPr>
                      <w:r w:rsidRPr="002A7BD6">
                        <w:rPr>
                          <w:b/>
                          <w:sz w:val="20"/>
                          <w:szCs w:val="20"/>
                          <w:u w:val="single"/>
                          <w:lang w:val="es-ES"/>
                        </w:rPr>
                        <w:t>Comentario:</w:t>
                      </w:r>
                      <w:r w:rsidRPr="002A7BD6">
                        <w:rPr>
                          <w:sz w:val="20"/>
                          <w:szCs w:val="20"/>
                          <w:lang w:val="es-ES"/>
                        </w:rPr>
                        <w:t xml:space="preserve"> </w:t>
                      </w:r>
                      <w:r w:rsidRPr="00F20655">
                        <w:rPr>
                          <w:sz w:val="20"/>
                          <w:szCs w:val="20"/>
                          <w:lang w:val="es-ES"/>
                        </w:rPr>
                        <w:t xml:space="preserve">El artículo 55 de la </w:t>
                      </w:r>
                      <w:proofErr w:type="spellStart"/>
                      <w:r w:rsidRPr="00F20655">
                        <w:rPr>
                          <w:sz w:val="20"/>
                          <w:szCs w:val="20"/>
                          <w:lang w:val="es-ES"/>
                        </w:rPr>
                        <w:t>LRTI</w:t>
                      </w:r>
                      <w:proofErr w:type="spellEnd"/>
                      <w:r w:rsidRPr="00F20655">
                        <w:rPr>
                          <w:sz w:val="20"/>
                          <w:szCs w:val="20"/>
                          <w:lang w:val="es-ES"/>
                        </w:rPr>
                        <w:t xml:space="preserve"> establece la transferencia de bienes muebles tarifa 0%.</w:t>
                      </w:r>
                    </w:p>
                  </w:txbxContent>
                </v:textbox>
                <w10:anchorlock/>
              </v:rect>
            </w:pict>
          </mc:Fallback>
        </mc:AlternateContent>
      </w:r>
    </w:p>
    <w:p w:rsidR="002A7BD6" w:rsidRPr="00165C68" w:rsidRDefault="002A7BD6" w:rsidP="002A7BD6">
      <w:pPr>
        <w:jc w:val="both"/>
        <w:rPr>
          <w:rFonts w:ascii="Arial" w:hAnsi="Arial" w:cs="Arial"/>
          <w:sz w:val="20"/>
          <w:szCs w:val="16"/>
          <w:lang w:val="es-ES"/>
        </w:rPr>
      </w:pPr>
      <w:r w:rsidRPr="00165C68">
        <w:rPr>
          <w:rFonts w:ascii="Arial" w:hAnsi="Arial" w:cs="Arial"/>
          <w:b/>
          <w:i/>
          <w:sz w:val="20"/>
          <w:szCs w:val="16"/>
          <w:u w:val="single"/>
          <w:lang w:val="es-ES"/>
        </w:rPr>
        <w:t>11. Sustitúyase el último inciso del artículo 72 por el siguiente</w:t>
      </w:r>
      <w:r w:rsidRPr="00165C68">
        <w:rPr>
          <w:rFonts w:ascii="Arial" w:hAnsi="Arial" w:cs="Arial"/>
          <w:sz w:val="20"/>
          <w:szCs w:val="16"/>
          <w:lang w:val="es-ES"/>
        </w:rPr>
        <w:t xml:space="preserve">: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"El reintegro del impuesto al valor agregado IVA, no es aplicable a la actividad petrolera en lo referente a la extracción, transporte y comercialización de petróleo crudo, ni a otra actividad relacionada con recursos no renovables, excepto en exportaciones mineras, en las que será aplicable el reintegro del IVA pagado por los periodos correspondientes al 1 de enero de 2018 en adelante, en los términos contemplados en el presente artículo." </w:t>
      </w: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12. En el segundo apartado del numeral 2 del artículo 76, correspondiente a bebidas alcohólicas incluida la cerveza, inclúyase el siguiente inciso: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"Para las personas naturales y sociedades que en virtud de la definición y clasificación realizada por el Código Orgánico de la Producción Comercio e Inversiones sean consideradas como micro o pequeñas empresas productoras de cerveza, se aplicará la tarifa ad valorem prevista en el inciso anterior, siempre que su precio ex fábrica supere dos veces el límite señalado en este artículo." </w:t>
      </w:r>
    </w:p>
    <w:p w:rsidR="002A7BD6" w:rsidRPr="00165C68" w:rsidRDefault="002A7BD6" w:rsidP="002A7BD6">
      <w:pPr>
        <w:jc w:val="both"/>
        <w:rPr>
          <w:rFonts w:ascii="Arial" w:hAnsi="Arial" w:cs="Arial"/>
          <w:sz w:val="16"/>
          <w:szCs w:val="16"/>
          <w:lang w:val="es-ES"/>
        </w:rPr>
      </w:pPr>
      <w:r w:rsidRPr="00165C68">
        <w:rPr>
          <w:rFonts w:ascii="Arial" w:hAnsi="Arial" w:cs="Arial"/>
          <w:b/>
          <w:sz w:val="20"/>
          <w:szCs w:val="16"/>
          <w:u w:val="single"/>
          <w:lang w:val="es-ES"/>
        </w:rPr>
        <w:lastRenderedPageBreak/>
        <w:t>13. En la disposición transitoria segunda, sustitúyase la frase</w:t>
      </w:r>
      <w:r w:rsidRPr="00165C68">
        <w:rPr>
          <w:rFonts w:ascii="Arial" w:hAnsi="Arial" w:cs="Arial"/>
          <w:sz w:val="20"/>
          <w:szCs w:val="16"/>
          <w:lang w:val="es-ES"/>
        </w:rPr>
        <w:t xml:space="preserve"> </w:t>
      </w:r>
      <w:r w:rsidRPr="00165C68">
        <w:rPr>
          <w:rFonts w:ascii="Arial" w:hAnsi="Arial" w:cs="Arial"/>
          <w:sz w:val="16"/>
          <w:szCs w:val="16"/>
          <w:lang w:val="es-ES"/>
        </w:rPr>
        <w:t xml:space="preserve">"los años cuarto y quinto" por la siguiente "los años cuarto, quinto, sexto y séptimo". </w:t>
      </w:r>
    </w:p>
    <w:p w:rsidR="00F20655" w:rsidRDefault="00F20655" w:rsidP="002A7BD6">
      <w:pPr>
        <w:jc w:val="both"/>
        <w:rPr>
          <w:rFonts w:ascii="Arial" w:hAnsi="Arial" w:cs="Arial"/>
          <w:b/>
          <w:i/>
          <w:sz w:val="20"/>
          <w:szCs w:val="16"/>
          <w:u w:val="single"/>
          <w:lang w:val="es-ES"/>
        </w:rPr>
      </w:pPr>
    </w:p>
    <w:p w:rsidR="002A7BD6" w:rsidRPr="00165C68" w:rsidRDefault="002A7BD6" w:rsidP="002A7BD6">
      <w:pPr>
        <w:jc w:val="both"/>
        <w:rPr>
          <w:rFonts w:ascii="Arial" w:hAnsi="Arial" w:cs="Arial"/>
          <w:b/>
          <w:i/>
          <w:sz w:val="20"/>
          <w:szCs w:val="16"/>
          <w:u w:val="single"/>
          <w:lang w:val="es-ES"/>
        </w:rPr>
      </w:pPr>
      <w:r w:rsidRPr="00165C68">
        <w:rPr>
          <w:rFonts w:ascii="Arial" w:hAnsi="Arial" w:cs="Arial"/>
          <w:b/>
          <w:i/>
          <w:sz w:val="20"/>
          <w:szCs w:val="16"/>
          <w:u w:val="single"/>
          <w:lang w:val="es-ES"/>
        </w:rPr>
        <w:t xml:space="preserve">14. Agréguese al final del artículo 39: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"No se entenderá producida enajenación directa o indirecta alguna, cuando la transferencia de acciones, participaciones u otros derechos representativos de capital, ocurra por efectos de procesos de fusión o escisión, siempre que los beneficiarios efectivos de las acciones, participaciones o derechos representativos de capital, sean los mismos antes y después de esos procesos."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Tercera.- Reformas a la Ley Reformatoria para la Equidad Tributaria del Ecuador </w:t>
      </w:r>
    </w:p>
    <w:p w:rsidR="002A7BD6"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1. En la Ley Reformatoria para la Equidad Tributaria del Ecuador, publicada en el Suplemento del Registro Oficial 242, de 29 de diciembre de 2007, y su reforma sustitúyase el artículo 159 por el siguiente: </w:t>
      </w:r>
    </w:p>
    <w:p w:rsidR="00F20655" w:rsidRPr="00165C68" w:rsidRDefault="00F20655" w:rsidP="002A7BD6">
      <w:pPr>
        <w:jc w:val="both"/>
        <w:rPr>
          <w:rFonts w:ascii="Arial" w:hAnsi="Arial" w:cs="Arial"/>
          <w:sz w:val="16"/>
          <w:szCs w:val="16"/>
          <w:lang w:val="es-ES"/>
        </w:rPr>
      </w:pPr>
      <w:r w:rsidRPr="00165C68">
        <w:rPr>
          <w:rFonts w:ascii="Arial" w:hAnsi="Arial" w:cs="Arial"/>
          <w:noProof/>
          <w:sz w:val="16"/>
          <w:szCs w:val="16"/>
          <w:lang w:val="es-EC" w:eastAsia="es-EC"/>
        </w:rPr>
        <mc:AlternateContent>
          <mc:Choice Requires="wps">
            <w:drawing>
              <wp:inline distT="0" distB="0" distL="0" distR="0" wp14:anchorId="1F43A82E" wp14:editId="0197B000">
                <wp:extent cx="3086100" cy="1467293"/>
                <wp:effectExtent l="0" t="0" r="0" b="0"/>
                <wp:docPr id="2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467293"/>
                        </a:xfrm>
                        <a:prstGeom prst="rect">
                          <a:avLst/>
                        </a:prstGeom>
                        <a:ln>
                          <a:noFill/>
                          <a:headEnd/>
                          <a:tailEnd/>
                        </a:ln>
                        <a:extLst>
                          <a:ext uri="{53640926-AAD7-44D8-BBD7-CCE9431645EC}">
                            <a14:shadowObscured xmlns:a14="http://schemas.microsoft.com/office/drawing/2010/main" val="1"/>
                          </a:ext>
                        </a:extLst>
                      </wps:spPr>
                      <wps:style>
                        <a:lnRef idx="2">
                          <a:schemeClr val="accent1"/>
                        </a:lnRef>
                        <a:fillRef idx="1003">
                          <a:schemeClr val="lt2"/>
                        </a:fillRef>
                        <a:effectRef idx="0">
                          <a:schemeClr val="accent1"/>
                        </a:effectRef>
                        <a:fontRef idx="minor">
                          <a:schemeClr val="dk1"/>
                        </a:fontRef>
                      </wps:style>
                      <wps:txbx>
                        <w:txbxContent>
                          <w:p w:rsidR="00F20655" w:rsidRPr="002A7BD6" w:rsidRDefault="00F20655" w:rsidP="00F20655">
                            <w:pPr>
                              <w:pStyle w:val="Cita"/>
                              <w:rPr>
                                <w:sz w:val="20"/>
                                <w:szCs w:val="20"/>
                                <w:lang w:val="es-ES"/>
                              </w:rPr>
                            </w:pPr>
                            <w:r w:rsidRPr="002A7BD6">
                              <w:rPr>
                                <w:b/>
                                <w:sz w:val="20"/>
                                <w:szCs w:val="20"/>
                                <w:u w:val="single"/>
                                <w:lang w:val="es-ES"/>
                              </w:rPr>
                              <w:t>Comentario:</w:t>
                            </w:r>
                            <w:r w:rsidRPr="002A7BD6">
                              <w:rPr>
                                <w:sz w:val="20"/>
                                <w:szCs w:val="20"/>
                                <w:lang w:val="es-ES"/>
                              </w:rPr>
                              <w:t xml:space="preserve"> </w:t>
                            </w:r>
                            <w:r w:rsidRPr="00F20655">
                              <w:rPr>
                                <w:sz w:val="20"/>
                                <w:szCs w:val="20"/>
                                <w:lang w:val="es-ES"/>
                              </w:rPr>
                              <w:t>Se incorpora la aclaración sobre que la enajenación de acciones en procesos de fusión o escisión no causa Impuesto a la Renta, si los beneficiarios  efectivos son los mismos durante la totalidad de estos procesos</w:t>
                            </w:r>
                            <w:r>
                              <w:rPr>
                                <w:sz w:val="20"/>
                                <w:szCs w:val="20"/>
                                <w:lang w:val="es-ES"/>
                              </w:rPr>
                              <w:t>.</w:t>
                            </w:r>
                          </w:p>
                        </w:txbxContent>
                      </wps:txbx>
                      <wps:bodyPr rot="0" vert="horz" wrap="square" lIns="91440" tIns="91440" rIns="91440" bIns="137160" anchor="ctr" anchorCtr="0">
                        <a:noAutofit/>
                      </wps:bodyPr>
                    </wps:wsp>
                  </a:graphicData>
                </a:graphic>
              </wp:inline>
            </w:drawing>
          </mc:Choice>
          <mc:Fallback>
            <w:pict>
              <v:rect id="_x0000_s1035" style="width:243pt;height:115.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" stroked="f" strokeweight="2.25pt">
                <v:fill r:id="rId11" o:title="" recolor="t" rotate="t" type="tile"/>
                <v:imagedata recolortarget="#e5e9ef [3059]"/>
                <v:textbox inset=",7.2pt,,10.8pt">
                  <w:txbxContent>
                    <w:p w:rsidR="00F20655" w:rsidRPr="002A7BD6" w:rsidRDefault="00F20655" w:rsidP="00F20655">
                      <w:pPr>
                        <w:pStyle w:val="Quote"/>
                        <w:rPr>
                          <w:sz w:val="20"/>
                          <w:szCs w:val="20"/>
                          <w:lang w:val="es-ES"/>
                        </w:rPr>
                      </w:pPr>
                      <w:r w:rsidRPr="002A7BD6">
                        <w:rPr>
                          <w:b/>
                          <w:sz w:val="20"/>
                          <w:szCs w:val="20"/>
                          <w:u w:val="single"/>
                          <w:lang w:val="es-ES"/>
                        </w:rPr>
                        <w:t>Comentario:</w:t>
                      </w:r>
                      <w:r w:rsidRPr="002A7BD6">
                        <w:rPr>
                          <w:sz w:val="20"/>
                          <w:szCs w:val="20"/>
                          <w:lang w:val="es-ES"/>
                        </w:rPr>
                        <w:t xml:space="preserve"> </w:t>
                      </w:r>
                      <w:r w:rsidRPr="00F20655">
                        <w:rPr>
                          <w:sz w:val="20"/>
                          <w:szCs w:val="20"/>
                          <w:lang w:val="es-ES"/>
                        </w:rPr>
                        <w:t>Se incorpora la aclaración sobre que la enajenación de acciones en procesos de fusión o escisión no causa Impuesto a la Renta, si los beneficiarios  efectivos son los mismos durante la totalidad de estos procesos</w:t>
                      </w:r>
                      <w:r>
                        <w:rPr>
                          <w:sz w:val="20"/>
                          <w:szCs w:val="20"/>
                          <w:lang w:val="es-ES"/>
                        </w:rPr>
                        <w:t>.</w:t>
                      </w:r>
                    </w:p>
                  </w:txbxContent>
                </v:textbox>
                <w10:anchorlock/>
              </v:rect>
            </w:pict>
          </mc:Fallback>
        </mc:AlternateContent>
      </w:r>
    </w:p>
    <w:p w:rsidR="002A7BD6" w:rsidRPr="00F20655" w:rsidRDefault="002A7BD6" w:rsidP="002A7BD6">
      <w:pPr>
        <w:jc w:val="both"/>
        <w:rPr>
          <w:rFonts w:ascii="Arial" w:hAnsi="Arial" w:cs="Arial"/>
          <w:b/>
          <w:i/>
          <w:sz w:val="16"/>
          <w:szCs w:val="16"/>
          <w:u w:val="single"/>
          <w:lang w:val="es-ES"/>
        </w:rPr>
      </w:pPr>
      <w:r w:rsidRPr="00F20655">
        <w:rPr>
          <w:rFonts w:ascii="Arial" w:hAnsi="Arial" w:cs="Arial"/>
          <w:b/>
          <w:i/>
          <w:sz w:val="16"/>
          <w:szCs w:val="16"/>
          <w:u w:val="single"/>
          <w:lang w:val="es-ES"/>
        </w:rPr>
        <w:t xml:space="preserve">"Art. 159.- Exenciones.- Se establecen las siguientes exenciones: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1. Los ciudadanos ecuatorianos y extranjeros que abandonen el país portando en efectivo hasta una fracción básica desgravada de impuesto a la renta de personas naturales estarán exentos de este impuesto; en lo demás estarán gravados.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2. Las transferencias realizadas al exterior de hasta un mil (1000) dólares de los Estados Unidos de América, estarán exentas del Impuesto a la Salida de Divisas, recayendo el gravamen sobre lo que supere tal valor, conforme la periodicidad determinada en la normativa específica expedida para el efecto. En el caso de que el hecho generador se produzca con la utilización de tarjetas de crédito o de débito no se aplicará esta exención.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3. También están exonerados los pagos realizados al exterior, por concepto de la amortización de capital e intereses generados sobre créditos otorgados por instituciones LEY ORGÁNICA DE INCENTIVOS PARA ASOCIACIONES PÚBLICO-PRIVADAS Y LA INVERSIÓN EXTRANJERA  financieras internacionales, o entidades no financieras especializadas calificadas por los entes de control correspondientes en Ecuador, que otorguen financiamiento con un plazo de 360 días calendario o más, vía crédito, depósito, compra-venta de cartera, compra venta-de títulos en el mercado de valores, que sean destinados al financiamiento de vivienda, microcrédito o inversiones productivas. En estos casos, la tasa de interés de dichas operaciones deberá ser inferior a la tasa referencial que sea definida mediante Resolución por la Junta de Política y Regulación Monetaria y Financiera. En caso de que la </w:t>
      </w:r>
      <w:r w:rsidRPr="00165C68">
        <w:rPr>
          <w:rFonts w:ascii="Arial" w:hAnsi="Arial" w:cs="Arial"/>
          <w:sz w:val="16"/>
          <w:szCs w:val="16"/>
          <w:lang w:val="es-ES"/>
        </w:rPr>
        <w:lastRenderedPageBreak/>
        <w:t xml:space="preserve">tasa de interés del financiamiento supere a la tasa referencial establecida por la Junta no aplica esta exoneración al pago de intereses correspondientes al porcentaje que exceda dicha tasa referencial.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No podrán acceder a este beneficio aquellas operaciones de financiamiento concedidas, directa o indirectamente por partes relacionadas por dirección, administración, control o capital y que a su vez sean residentes o establecidas en paraísos fiscales o jurisdicciones de menor imposición, excepto cuando el prestatario sea una institución financiera.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La Junta de Política y Regulación Monetaria y Financiera y el Comité de Política Tributaria, en el ámbito de sus competencias, podrán determinar mediante resolución los segmentos, plazos, condiciones y requisitos adicionales para efectos de esta exención."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4. Los pagos realizados al exterior por parte de administradores y operadores de las Zonas Especiales de Desarrollo Económico (ZEDE) por concepto de importaciones de bienes y servicios relacionados con su actividad autorizada, sin perjuicio de la aplicación del régimen previsto en el numeral precedente para sus operaciones de financiamiento externo.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5. Los pagos realizados al exterior, por concepto de dividendos distribuidos por sociedades nacionales o extranjeras domiciliadas en el Ecuador, después del pago del impuesto a la renta, a favor de otras sociedades extranjeras o de personas naturales no residentes en el Ecuador, siempre y cuando, la sociedad o la persona natural -según corresponda- no esté domiciliada en paraísos fiscales o jurisdicciones de menor imposición. No se aplicará esta exoneración cuando los dividendos se distribuyan a favor de sociedades extranjeras de las cuales, a su vez, sean accionistas las personas naturales o sociedades residentes o domiciliadas en el Ecuador, que son accionistas de la sociedad domiciliada en Ecuador que los distribuye. </w:t>
      </w:r>
    </w:p>
    <w:p w:rsidR="00F20655" w:rsidRDefault="002A7BD6" w:rsidP="002A7BD6">
      <w:pPr>
        <w:jc w:val="both"/>
        <w:rPr>
          <w:rFonts w:ascii="Arial" w:hAnsi="Arial" w:cs="Arial"/>
          <w:noProof/>
          <w:sz w:val="16"/>
          <w:szCs w:val="16"/>
          <w:lang w:val="es-ES" w:eastAsia="es-ES"/>
        </w:rPr>
      </w:pPr>
      <w:r w:rsidRPr="00165C68">
        <w:rPr>
          <w:rFonts w:ascii="Arial" w:hAnsi="Arial" w:cs="Arial"/>
          <w:sz w:val="16"/>
          <w:szCs w:val="16"/>
          <w:lang w:val="es-ES"/>
        </w:rPr>
        <w:t>6. Los pagos efectuados al exterior por concepto de los rendimientos financieros, ganancias de capital y capital de aquellas inversiones provenientes del exterior que hubieren ingresado exclusivamente al mercado de valores del Ecuador para realizar esta transacción y que hayan permanecido en el país, como mínimo el plazo señalado por el Comité de Política Tributaria, que no podrá ser inferior a 360 días calendario, efectuadas tanto por personas naturales o jurídicas domiciliadas en el exterior, a través de las Bolsas de Valores legalmente constituidas en el país o del Registro Especial Bursátil. Estas inversiones podrán efectuarse en valores de renta variable o en los títulos de renta fija contemplados en los numerales 15 y 15.1 del artículo 9 de la Ley de Régimen Tributario Interno, a partir de la fecha de publicación de esta Ley. No aplica esta exención cuando el pago se realice, directa o indirectamente a personas naturales o sociedades residentes o domiciliadas en el Ecuador, o entre partes relacionadas.</w:t>
      </w:r>
      <w:r w:rsidR="00F20655" w:rsidRPr="00F20655">
        <w:rPr>
          <w:rFonts w:ascii="Arial" w:hAnsi="Arial" w:cs="Arial"/>
          <w:noProof/>
          <w:sz w:val="16"/>
          <w:szCs w:val="16"/>
          <w:lang w:val="es-ES" w:eastAsia="es-ES"/>
        </w:rPr>
        <w:t xml:space="preserve"> </w:t>
      </w:r>
    </w:p>
    <w:p w:rsidR="00F20655" w:rsidRDefault="00F20655" w:rsidP="00F20655">
      <w:pPr>
        <w:jc w:val="center"/>
        <w:rPr>
          <w:rFonts w:ascii="Arial" w:hAnsi="Arial" w:cs="Arial"/>
          <w:sz w:val="16"/>
          <w:szCs w:val="16"/>
          <w:lang w:val="es-ES"/>
        </w:rPr>
      </w:pPr>
      <w:r w:rsidRPr="00165C68">
        <w:rPr>
          <w:rFonts w:ascii="Arial" w:hAnsi="Arial" w:cs="Arial"/>
          <w:noProof/>
          <w:sz w:val="16"/>
          <w:szCs w:val="16"/>
          <w:lang w:val="es-EC" w:eastAsia="es-EC"/>
        </w:rPr>
        <w:lastRenderedPageBreak/>
        <w:drawing>
          <wp:inline distT="0" distB="0" distL="0" distR="0" wp14:anchorId="3822A60B" wp14:editId="2448D541">
            <wp:extent cx="2425342" cy="2094614"/>
            <wp:effectExtent l="0" t="0" r="0" b="127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o-plata-dinero-educacion-reducir-impuestos[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28314" cy="2097181"/>
                    </a:xfrm>
                    <a:prstGeom prst="rect">
                      <a:avLst/>
                    </a:prstGeom>
                  </pic:spPr>
                </pic:pic>
              </a:graphicData>
            </a:graphic>
          </wp:inline>
        </w:drawing>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7. Los pagos realizados al exterior, provenientes de rendimientos financieros, ganancias de capital y capital de aquellas inversiones efectuadas en el exterior, en títulos valor emitidos por personas jurídicas domiciliadas en el Ecuador, que hubieran sido adquiridos en mercados internacionales, y siempre que los recursos generados por dicha inversión hayan ingresado en el país y permanecido como mínimo el plazo señalado por el Comité de Política Tributaria, que no podrá ser inferior a 360 días calendario, destinadas al financiamiento de vivienda, de microcrédito o de las inversiones productivas. No aplica esta exención cuando el pago se realice directa o indirectamente a personas naturales o sociedades residentes o domiciliadas en el Ecuador, o entre partes relacionadas.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8. Los pagos efectuados al exterior por concepto de rendimientos financieros, ganancias de capital y capital de aquellos depósitos a plazo fijo realizados con recursos provenientes del exterior, en instituciones del sistema financiero nacional, y cuyo plazo mínimo será el señalado por el Comité de Política Tributaria, efectuados por personas naturales o jurídicas a partir de la fecha de publicación de esta Ley.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Podrán beneficiarse de las exenciones determinadas en los numerales 6, 7 y 8 precedentes, exclusivamente aquellas inversiones que se encuentren en los ámbitos que se establezcan para el efecto, y que cumplan los plazos, condiciones y otros requisitos determinados por el Comité de Política Tributaria.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9. Las importaciones a consumo de cocinas eléctricas y las de inducción, sus partes y piezas; las ollas diseñadas para su utilización en cocinas de inducción; así como los sistemas eléctricos de calentamiento de agua para uso doméstico, incluyendo las duchas eléctricas." </w:t>
      </w:r>
    </w:p>
    <w:p w:rsidR="002A7BD6" w:rsidRPr="00165C68" w:rsidRDefault="002A7BD6" w:rsidP="002A7BD6">
      <w:pPr>
        <w:jc w:val="both"/>
        <w:rPr>
          <w:rFonts w:ascii="Arial" w:hAnsi="Arial" w:cs="Arial"/>
          <w:b/>
          <w:i/>
          <w:sz w:val="16"/>
          <w:szCs w:val="16"/>
          <w:u w:val="single"/>
          <w:lang w:val="es-ES"/>
        </w:rPr>
      </w:pPr>
      <w:r w:rsidRPr="00165C68">
        <w:rPr>
          <w:rFonts w:ascii="Arial" w:hAnsi="Arial" w:cs="Arial"/>
          <w:b/>
          <w:i/>
          <w:sz w:val="16"/>
          <w:szCs w:val="16"/>
          <w:u w:val="single"/>
          <w:lang w:val="es-ES"/>
        </w:rPr>
        <w:t xml:space="preserve">2. Agréguese, luego del artículo 159, la siguiente disposición: </w:t>
      </w:r>
    </w:p>
    <w:p w:rsidR="002A7BD6" w:rsidRPr="00165C68" w:rsidRDefault="002A7BD6" w:rsidP="002A7BD6">
      <w:pPr>
        <w:jc w:val="both"/>
        <w:rPr>
          <w:rFonts w:ascii="Arial" w:hAnsi="Arial" w:cs="Arial"/>
          <w:b/>
          <w:i/>
          <w:sz w:val="16"/>
          <w:szCs w:val="16"/>
          <w:u w:val="single"/>
          <w:lang w:val="es-ES"/>
        </w:rPr>
      </w:pPr>
      <w:r w:rsidRPr="00165C68">
        <w:rPr>
          <w:rFonts w:ascii="Arial" w:hAnsi="Arial" w:cs="Arial"/>
          <w:b/>
          <w:i/>
          <w:sz w:val="16"/>
          <w:szCs w:val="16"/>
          <w:u w:val="single"/>
          <w:lang w:val="es-ES"/>
        </w:rPr>
        <w:t xml:space="preserve">"Art. 159.1.- Exenciones en la Ejecución de Proyectos Públicos en Asociación Público-Privada. </w:t>
      </w:r>
    </w:p>
    <w:p w:rsidR="00F20655"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Están exentos del impuesto a la salida de divisas los pagos al exterior que efectúen las sociedades que se creen o estructuren para el desarrollo y ejecución de proyectos públicos en asociación público-privada, que cumplan con los requisitos fijados en la ley que regula la aplicación de los incentivos de las APP, cualquiera sea el domicilio del receptor del pago: </w:t>
      </w:r>
    </w:p>
    <w:p w:rsidR="002A7BD6" w:rsidRDefault="00F20655" w:rsidP="00F20655">
      <w:pPr>
        <w:jc w:val="center"/>
        <w:rPr>
          <w:rFonts w:ascii="Arial" w:hAnsi="Arial" w:cs="Arial"/>
          <w:sz w:val="16"/>
          <w:szCs w:val="16"/>
          <w:lang w:val="es-ES"/>
        </w:rPr>
      </w:pPr>
      <w:r w:rsidRPr="00165C68">
        <w:rPr>
          <w:rFonts w:ascii="Arial" w:hAnsi="Arial" w:cs="Arial"/>
          <w:noProof/>
          <w:sz w:val="16"/>
          <w:szCs w:val="16"/>
          <w:lang w:val="es-EC" w:eastAsia="es-EC"/>
        </w:rPr>
        <w:lastRenderedPageBreak/>
        <w:drawing>
          <wp:inline distT="0" distB="0" distL="0" distR="0" wp14:anchorId="1D0272BD" wp14:editId="01F88233">
            <wp:extent cx="2906031" cy="2052084"/>
            <wp:effectExtent l="0" t="0" r="8890" b="571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puestos-o-tax-nueva-york-L-SYHtiB[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12403" cy="2056584"/>
                    </a:xfrm>
                    <a:prstGeom prst="rect">
                      <a:avLst/>
                    </a:prstGeom>
                  </pic:spPr>
                </pic:pic>
              </a:graphicData>
            </a:graphic>
          </wp:inline>
        </w:drawing>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1. En la importación de bienes para la ejecución del proyecto público, cualquiera sea el régimen de importación empleado.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2. En la adquisición de servicios para la ejecución del proyecto público.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3. Los pagos efectuados por la sociedad a los financistas del proyecto público, incluido el capital, interés y comisiones, siempre que la tasa de interés pactada no supere la tasa referencial a la fecha de registro del crédito. El beneficio se extiende a los créditos subordinados, siempre que la sociedad prestataria no se encuentre en situación de subcapitalización de acuerdo con el régimen general.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4. Los pagos efectuados por la sociedad por distribución de dividendos o utilidades a sus beneficiarios, sin perjuicio de donde tengan su domicilio fiscal.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5. Los pagos efectuados por cualquier persona o sociedad en razón de la adquisición de acciones, derechos o participaciones de la sociedad estructurada para la ejecución de un proyecto público en la modalidad de asociación público-privada o por transacciones que recaigan sobre títulos representativos de obligaciones emitidos para el financiamiento del proyecto público.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Para la aplicación de las exenciones previstas en este artículo únicamente se deberá presentar la correspondiente declaración, según el régimen general, acerca de que la operación se encuentra exenta." </w:t>
      </w:r>
    </w:p>
    <w:p w:rsidR="002A7BD6" w:rsidRPr="00165C68" w:rsidRDefault="002A7BD6" w:rsidP="002A7BD6">
      <w:pPr>
        <w:jc w:val="both"/>
        <w:rPr>
          <w:rFonts w:ascii="Arial" w:hAnsi="Arial" w:cs="Arial"/>
          <w:b/>
          <w:i/>
          <w:sz w:val="16"/>
          <w:szCs w:val="16"/>
          <w:u w:val="single"/>
          <w:lang w:val="es-ES"/>
        </w:rPr>
      </w:pPr>
      <w:r w:rsidRPr="00165C68">
        <w:rPr>
          <w:rFonts w:ascii="Arial" w:hAnsi="Arial" w:cs="Arial"/>
          <w:b/>
          <w:i/>
          <w:sz w:val="16"/>
          <w:szCs w:val="16"/>
          <w:u w:val="single"/>
          <w:lang w:val="es-ES"/>
        </w:rPr>
        <w:t xml:space="preserve">3. Agréguese al final del artículo 174 los siguientes incisos: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"En el caso de inmuebles ubicados en la Región Amazónica y en zonas similares definidas en el respectivo Decreto Ejecutivo emitido por el Presidente de la República, el hecho generador se producirá con la propiedad o posesión de superficies de terreno superiores a 50 hectáreas, valor que podrá ser ampliado a 70 hectáreas mediante Decreto Ejecutivo por el Presidente de la República por uno o varios períodos fiscales, previa solicitud motivada del Ministerio del ramo.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Similar tratamiento recibirán los predios ubicados en otras zonas del país que se encuentren en similares condiciones geográficas y de productividad que aquellos ubicados en la Región Amazónica y que se detallen en el respectivo Decreto Ejecutivo emitido por el Presidente de la República, previo informe técnico del Ministerio de Agricultura, Ganadería, Acuacultura y Pesca y del Ministerio de Ambiente, e informe de impacto fiscal del Servicio de Rentas Internas. En estos casos, la base desgravada será aplicable desde el correspondiente ejercicio fiscal en el que se expida el mencionado Decreto Ejecutivo.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lastRenderedPageBreak/>
        <w:t xml:space="preserve">En el caso de que el sujeto pasivo sea propietario y/o posea al mismo tiempo terrenos en la Región Amazónica o en zonas similares y en otras regiones del país, para efectos del cálculo de este impuesto se sumarán todas las áreas y se restará el número de hectáreas de terreno que se encuentren en la Región Amazónica y zonas similares, hasta el límite desgravado aplicable. El excedente que resulte de esta operación constituirá la base gravable del impuesto. </w:t>
      </w:r>
    </w:p>
    <w:p w:rsidR="002A7BD6" w:rsidRPr="00165C68" w:rsidRDefault="002A7BD6" w:rsidP="002A7BD6">
      <w:pPr>
        <w:jc w:val="both"/>
        <w:rPr>
          <w:rFonts w:ascii="Arial" w:hAnsi="Arial" w:cs="Arial"/>
          <w:b/>
          <w:i/>
          <w:sz w:val="16"/>
          <w:szCs w:val="16"/>
          <w:u w:val="single"/>
          <w:lang w:val="es-ES"/>
        </w:rPr>
      </w:pPr>
      <w:r w:rsidRPr="00165C68">
        <w:rPr>
          <w:rFonts w:ascii="Arial" w:hAnsi="Arial" w:cs="Arial"/>
          <w:b/>
          <w:i/>
          <w:sz w:val="16"/>
          <w:szCs w:val="16"/>
          <w:u w:val="single"/>
          <w:lang w:val="es-ES"/>
        </w:rPr>
        <w:t>4. Sustitúyase en el artículo 178 la frase "las 25 hectáreas" por la siguiente "el límite desgravado".</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Cuarta.- Reformas a la Ley Orgánica del Sistema Nacional de Contratación Pública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En la Ley Orgánica del Sistema Nacional de Contratación Pública, publicada en el Suplemento del Registro Oficial No. 395, de 4 de agosto de 2008, y sus reformas, luego del artículo 58, </w:t>
      </w:r>
      <w:r w:rsidR="00B01908" w:rsidRPr="00165C68">
        <w:rPr>
          <w:rFonts w:ascii="Arial" w:hAnsi="Arial" w:cs="Arial"/>
          <w:sz w:val="16"/>
          <w:szCs w:val="16"/>
          <w:lang w:val="es-ES"/>
        </w:rPr>
        <w:t>agregase</w:t>
      </w:r>
      <w:r w:rsidRPr="00165C68">
        <w:rPr>
          <w:rFonts w:ascii="Arial" w:hAnsi="Arial" w:cs="Arial"/>
          <w:sz w:val="16"/>
          <w:szCs w:val="16"/>
          <w:lang w:val="es-ES"/>
        </w:rPr>
        <w:t xml:space="preserve"> uno con el siguiente tenor: </w:t>
      </w:r>
    </w:p>
    <w:p w:rsidR="002A7BD6" w:rsidRPr="00165C68" w:rsidRDefault="002A7BD6" w:rsidP="002A7BD6">
      <w:pPr>
        <w:jc w:val="both"/>
        <w:rPr>
          <w:rFonts w:ascii="Arial" w:hAnsi="Arial" w:cs="Arial"/>
          <w:b/>
          <w:i/>
          <w:sz w:val="16"/>
          <w:szCs w:val="16"/>
          <w:u w:val="single"/>
          <w:lang w:val="es-ES"/>
        </w:rPr>
      </w:pPr>
      <w:r w:rsidRPr="00165C68">
        <w:rPr>
          <w:rFonts w:ascii="Arial" w:hAnsi="Arial" w:cs="Arial"/>
          <w:b/>
          <w:i/>
          <w:sz w:val="16"/>
          <w:szCs w:val="16"/>
          <w:u w:val="single"/>
          <w:lang w:val="es-ES"/>
        </w:rPr>
        <w:t xml:space="preserve">"Art. 58.1.- Adquisición de inmuebles para la ejecución de proyectos públicos en asociación público-privada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Los órganos y entidades del sector público, incluidos los gobiernos autónomos descentralizados, pueden declarar de utilidad pública bienes que requieran ser destinados a la ejecución de proyectos públicos en asociación público-privada.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Cuando la ley no establezca un procedimiento específico de expropiación en razón del objeto del proyecto del que se trate, se aplicará el procedimiento determinado en el artículo precedente, con las variaciones que a continuación se detallan: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1. Por la naturaleza de los proyectos públicos en asociación público-privada, cuando el financiamiento de la adquisición del inmueble la realice el socio privado, el requisito de certificación y disponibilidad presupuestaria para emprender el proceso de declaratoria de utilidad pública se ha de reemplazar por un certificado acerca de la </w:t>
      </w:r>
      <w:r w:rsidRPr="00165C68">
        <w:rPr>
          <w:rFonts w:ascii="Arial" w:hAnsi="Arial" w:cs="Arial"/>
          <w:sz w:val="16"/>
          <w:szCs w:val="16"/>
          <w:lang w:val="es-ES"/>
        </w:rPr>
        <w:lastRenderedPageBreak/>
        <w:t xml:space="preserve">modalidad de financiamiento empleada para la ejecución del proyecto.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2. La entidad contratante se ha de asegurar que los recursos necesarios para el financiamiento del pago del justo precio por la adquisición o expropiación de los bienes necesarios para la ejecución del proyecto estén disponibles a la fecha en que, de no mediar un acuerdo con el propietario de conformidad con el artículo precedente, deba ser consignado el precio ante el juez competente.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3. Consignado el precio ante el juez competente y sin perjuicio de la prosecución del correspondiente proceso judicial para la determinación del justo precio, en la primera providencia judicial, bajo responsabilidad personal del juez competente por el retraso, dispondrá la ocupación del respectivo bien en un plazo no mayor a quince días.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4. La entidad contratante podrá delegar al socio privado, siempre bajo su control, las actividades puramente materiales en el procedimiento de adquisición de bienes inmuebles a ser destinados a la ejecución de proyectos de interés público en asociación público-privada, en cuyo caso se habrá trasladado al gestor delegado el riesgo relacionado con la disponibilidad oportuna de los bienes para la ejecución del proyecto. </w:t>
      </w:r>
    </w:p>
    <w:p w:rsidR="002A7BD6" w:rsidRPr="00165C68" w:rsidRDefault="002A7BD6" w:rsidP="002A7BD6">
      <w:pPr>
        <w:jc w:val="both"/>
        <w:rPr>
          <w:rFonts w:ascii="Arial" w:hAnsi="Arial" w:cs="Arial"/>
          <w:sz w:val="16"/>
          <w:szCs w:val="16"/>
          <w:lang w:val="es-ES"/>
        </w:rPr>
      </w:pPr>
      <w:r w:rsidRPr="00165C68">
        <w:rPr>
          <w:rFonts w:ascii="Arial" w:hAnsi="Arial" w:cs="Arial"/>
          <w:sz w:val="16"/>
          <w:szCs w:val="16"/>
          <w:lang w:val="es-ES"/>
        </w:rPr>
        <w:t xml:space="preserve">5. El riesgo vinculado con el pago del justo precio en sede judicial será distribuido entre la entidad delegante y el gestor delegado en el respectivo contrato." </w:t>
      </w:r>
    </w:p>
    <w:p w:rsidR="00FE0A40" w:rsidRPr="00165C68" w:rsidRDefault="00FE0A40" w:rsidP="00FE0A40">
      <w:pPr>
        <w:ind w:left="142"/>
        <w:jc w:val="both"/>
        <w:rPr>
          <w:rFonts w:ascii="Arial" w:hAnsi="Arial" w:cs="Arial"/>
          <w:sz w:val="16"/>
          <w:szCs w:val="16"/>
          <w:lang w:val="es-ES"/>
        </w:rPr>
      </w:pPr>
      <w:r w:rsidRPr="00165C68">
        <w:rPr>
          <w:rFonts w:ascii="Arial" w:hAnsi="Arial" w:cs="Arial"/>
          <w:i/>
          <w:color w:val="000000"/>
          <w:sz w:val="16"/>
          <w:szCs w:val="16"/>
          <w:shd w:val="clear" w:color="auto" w:fill="FFFFFF"/>
          <w:lang w:val="es-ES"/>
        </w:rPr>
        <w:t>La totalidad de las inversiones de la contratista por actividades indicadas anteriormente, que fueran reportadas como no exitosas por las partes y según los términos del contrato, serán registradas en los resultados del período en el que hubieren ocurrido, constituyendo un gasto deducible para fines tributarios, con independencia del cumplimiento de las obligaciones de abandono derivadas de dichas actividades por parte del operador.</w:t>
      </w:r>
    </w:p>
    <w:p w:rsidR="007870A9" w:rsidRPr="00165C68" w:rsidRDefault="007870A9" w:rsidP="00FE0A40">
      <w:pPr>
        <w:ind w:left="142"/>
        <w:rPr>
          <w:rFonts w:ascii="Arial" w:hAnsi="Arial" w:cs="Arial"/>
          <w:sz w:val="16"/>
          <w:szCs w:val="16"/>
          <w:lang w:val="es-ES"/>
        </w:rPr>
      </w:pPr>
    </w:p>
    <w:p w:rsidR="007870A9" w:rsidRPr="00FE0A40" w:rsidRDefault="007870A9">
      <w:pPr>
        <w:pStyle w:val="Ttulo1"/>
        <w:rPr>
          <w:lang w:val="es-ES"/>
        </w:rPr>
        <w:sectPr w:rsidR="007870A9" w:rsidRPr="00FE0A40" w:rsidSect="006455FD">
          <w:type w:val="continuous"/>
          <w:pgSz w:w="12240" w:h="15840"/>
          <w:pgMar w:top="936" w:right="936" w:bottom="936" w:left="936" w:header="720" w:footer="720" w:gutter="0"/>
          <w:cols w:num="2" w:space="616"/>
          <w:docGrid w:linePitch="360"/>
        </w:sectPr>
      </w:pPr>
    </w:p>
    <w:p w:rsidR="004B343A" w:rsidRPr="004B343A" w:rsidRDefault="004B343A">
      <w:pPr>
        <w:pStyle w:val="Cita"/>
        <w:jc w:val="left"/>
        <w:rPr>
          <w:rFonts w:asciiTheme="minorHAnsi" w:hAnsiTheme="minorHAnsi"/>
          <w:i w:val="0"/>
          <w:color w:val="2F5897" w:themeColor="text2"/>
          <w:sz w:val="22"/>
          <w:lang w:val="es-ES"/>
        </w:rPr>
      </w:pPr>
    </w:p>
    <w:p w:rsidR="004B343A" w:rsidRPr="004B343A" w:rsidRDefault="004B343A">
      <w:pPr>
        <w:pStyle w:val="Cita"/>
        <w:jc w:val="left"/>
        <w:rPr>
          <w:rFonts w:asciiTheme="minorHAnsi" w:hAnsiTheme="minorHAnsi"/>
          <w:i w:val="0"/>
          <w:color w:val="2F5897" w:themeColor="text2"/>
          <w:sz w:val="22"/>
          <w:lang w:val="es-ES"/>
        </w:rPr>
      </w:pPr>
    </w:p>
    <w:p w:rsidR="004B343A" w:rsidRPr="004B343A" w:rsidRDefault="00F20655">
      <w:pPr>
        <w:pStyle w:val="Cita"/>
        <w:jc w:val="left"/>
        <w:rPr>
          <w:rFonts w:asciiTheme="minorHAnsi" w:hAnsiTheme="minorHAnsi"/>
          <w:i w:val="0"/>
          <w:color w:val="2F5897" w:themeColor="text2"/>
          <w:sz w:val="22"/>
          <w:lang w:val="es-ES"/>
        </w:rPr>
      </w:pPr>
      <w:r w:rsidRPr="00C32BBF">
        <w:rPr>
          <w:noProof/>
          <w:lang w:val="es-EC" w:eastAsia="es-EC" w:bidi="ar-SA"/>
        </w:rPr>
        <w:lastRenderedPageBreak/>
        <mc:AlternateContent>
          <mc:Choice Requires="wps">
            <w:drawing>
              <wp:anchor distT="0" distB="0" distL="114300" distR="114300" simplePos="0" relativeHeight="251682816" behindDoc="0" locked="0" layoutInCell="1" allowOverlap="1" wp14:anchorId="2C459318" wp14:editId="0428D092">
                <wp:simplePos x="0" y="0"/>
                <wp:positionH relativeFrom="column">
                  <wp:posOffset>1872453</wp:posOffset>
                </wp:positionH>
                <wp:positionV relativeFrom="paragraph">
                  <wp:posOffset>2211705</wp:posOffset>
                </wp:positionV>
                <wp:extent cx="3168015" cy="83947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015"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BBF" w:rsidRPr="00C32BBF" w:rsidRDefault="00C32BBF" w:rsidP="00C32BBF">
                            <w:pPr>
                              <w:pStyle w:val="Subttulo"/>
                              <w:spacing w:after="0" w:line="240" w:lineRule="auto"/>
                              <w:jc w:val="center"/>
                              <w:rPr>
                                <w:rFonts w:ascii="Century751 SeBd BT" w:hAnsi="Century751 SeBd BT"/>
                                <w:color w:val="7F7F7F"/>
                                <w:sz w:val="36"/>
                                <w:lang w:val="es-ES"/>
                              </w:rPr>
                            </w:pPr>
                            <w:r w:rsidRPr="00C32BBF">
                              <w:rPr>
                                <w:rFonts w:ascii="Century751 SeBd BT" w:hAnsi="Century751 SeBd BT"/>
                                <w:color w:val="7F7F7F"/>
                                <w:sz w:val="36"/>
                                <w:lang w:val="es-ES"/>
                              </w:rPr>
                              <w:t>ASTRILEG CÍA. LTDA.</w:t>
                            </w:r>
                          </w:p>
                          <w:p w:rsidR="00C32BBF" w:rsidRPr="00C32BBF" w:rsidRDefault="00C32BBF" w:rsidP="00C32BBF">
                            <w:pPr>
                              <w:pStyle w:val="Subttulo"/>
                              <w:spacing w:after="0" w:line="240" w:lineRule="auto"/>
                              <w:jc w:val="center"/>
                              <w:rPr>
                                <w:rFonts w:ascii="Century751 SeBd BT" w:hAnsi="Century751 SeBd BT"/>
                                <w:color w:val="7F7F7F"/>
                                <w:lang w:val="es-ES"/>
                              </w:rPr>
                            </w:pPr>
                            <w:r w:rsidRPr="00C32BBF">
                              <w:rPr>
                                <w:rFonts w:ascii="Century751 SeBd BT" w:hAnsi="Century751 SeBd BT"/>
                                <w:color w:val="7F7F7F"/>
                                <w:lang w:val="es-ES"/>
                              </w:rPr>
                              <w:t>Contadores Públicos Auditores</w:t>
                            </w:r>
                          </w:p>
                          <w:p w:rsidR="00C32BBF" w:rsidRPr="00C32BBF" w:rsidRDefault="00C32BBF" w:rsidP="00C32BBF">
                            <w:pPr>
                              <w:pStyle w:val="Subttulo"/>
                              <w:spacing w:after="0" w:line="240" w:lineRule="auto"/>
                              <w:jc w:val="center"/>
                              <w:rPr>
                                <w:rFonts w:ascii="Century751 SeBd BT" w:hAnsi="Century751 SeBd BT"/>
                                <w:color w:val="7F7F7F"/>
                                <w:sz w:val="8"/>
                                <w:lang w:val="es-ES"/>
                              </w:rPr>
                            </w:pPr>
                          </w:p>
                          <w:p w:rsidR="00C32BBF" w:rsidRPr="00AE1DAC" w:rsidRDefault="00C32BBF" w:rsidP="00C32BBF">
                            <w:pPr>
                              <w:pStyle w:val="Subttulo"/>
                              <w:spacing w:after="0" w:line="240" w:lineRule="auto"/>
                              <w:jc w:val="center"/>
                              <w:rPr>
                                <w:rFonts w:ascii="Century751 SeBd BT" w:hAnsi="Century751 SeBd BT"/>
                                <w:color w:val="7F7F7F"/>
                                <w:sz w:val="18"/>
                              </w:rPr>
                            </w:pPr>
                            <w:r w:rsidRPr="00AE1DAC">
                              <w:rPr>
                                <w:rFonts w:ascii="Century751 SeBd BT" w:hAnsi="Century751 SeBd BT"/>
                                <w:color w:val="7F7F7F"/>
                                <w:sz w:val="18"/>
                              </w:rPr>
                              <w:t xml:space="preserve">Firma Miembro de </w:t>
                            </w:r>
                          </w:p>
                          <w:p w:rsidR="00C32BBF" w:rsidRPr="002C26F8" w:rsidRDefault="00C32BBF" w:rsidP="00C32BBF">
                            <w:pPr>
                              <w:spacing w:after="0" w:line="240" w:lineRule="auto"/>
                              <w:rPr>
                                <w:lang w:val="es-EC"/>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6" type="#_x0000_t202" style="position:absolute;left:0;text-align:left;margin-left:147.45pt;margin-top:174.15pt;width:249.45pt;height:66.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iAzugIAAMM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" filled="f" stroked="f">
                <v:textbox>
                  <w:txbxContent>
                    <w:p w:rsidR="00C32BBF" w:rsidRPr="00C32BBF" w:rsidRDefault="00C32BBF" w:rsidP="00C32BBF">
                      <w:pPr>
                        <w:pStyle w:val="Subtitle"/>
                        <w:spacing w:after="0" w:line="240" w:lineRule="auto"/>
                        <w:jc w:val="center"/>
                        <w:rPr>
                          <w:rFonts w:ascii="Century751 SeBd BT" w:hAnsi="Century751 SeBd BT"/>
                          <w:color w:val="7F7F7F"/>
                          <w:sz w:val="36"/>
                          <w:lang w:val="es-ES"/>
                        </w:rPr>
                      </w:pPr>
                      <w:r w:rsidRPr="00C32BBF">
                        <w:rPr>
                          <w:rFonts w:ascii="Century751 SeBd BT" w:hAnsi="Century751 SeBd BT"/>
                          <w:color w:val="7F7F7F"/>
                          <w:sz w:val="36"/>
                          <w:lang w:val="es-ES"/>
                        </w:rPr>
                        <w:t>ASTRILEG CÍA. LTDA.</w:t>
                      </w:r>
                    </w:p>
                    <w:p w:rsidR="00C32BBF" w:rsidRPr="00C32BBF" w:rsidRDefault="00C32BBF" w:rsidP="00C32BBF">
                      <w:pPr>
                        <w:pStyle w:val="Subtitle"/>
                        <w:spacing w:after="0" w:line="240" w:lineRule="auto"/>
                        <w:jc w:val="center"/>
                        <w:rPr>
                          <w:rFonts w:ascii="Century751 SeBd BT" w:hAnsi="Century751 SeBd BT"/>
                          <w:color w:val="7F7F7F"/>
                          <w:lang w:val="es-ES"/>
                        </w:rPr>
                      </w:pPr>
                      <w:r w:rsidRPr="00C32BBF">
                        <w:rPr>
                          <w:rFonts w:ascii="Century751 SeBd BT" w:hAnsi="Century751 SeBd BT"/>
                          <w:color w:val="7F7F7F"/>
                          <w:lang w:val="es-ES"/>
                        </w:rPr>
                        <w:t>Contadores Públicos Auditores</w:t>
                      </w:r>
                    </w:p>
                    <w:p w:rsidR="00C32BBF" w:rsidRPr="00C32BBF" w:rsidRDefault="00C32BBF" w:rsidP="00C32BBF">
                      <w:pPr>
                        <w:pStyle w:val="Subtitle"/>
                        <w:spacing w:after="0" w:line="240" w:lineRule="auto"/>
                        <w:jc w:val="center"/>
                        <w:rPr>
                          <w:rFonts w:ascii="Century751 SeBd BT" w:hAnsi="Century751 SeBd BT"/>
                          <w:color w:val="7F7F7F"/>
                          <w:sz w:val="8"/>
                          <w:lang w:val="es-ES"/>
                        </w:rPr>
                      </w:pPr>
                    </w:p>
                    <w:p w:rsidR="00C32BBF" w:rsidRPr="00AE1DAC" w:rsidRDefault="00C32BBF" w:rsidP="00C32BBF">
                      <w:pPr>
                        <w:pStyle w:val="Subtitle"/>
                        <w:spacing w:after="0" w:line="240" w:lineRule="auto"/>
                        <w:jc w:val="center"/>
                        <w:rPr>
                          <w:rFonts w:ascii="Century751 SeBd BT" w:hAnsi="Century751 SeBd BT"/>
                          <w:color w:val="7F7F7F"/>
                          <w:sz w:val="18"/>
                        </w:rPr>
                      </w:pPr>
                      <w:r w:rsidRPr="00AE1DAC">
                        <w:rPr>
                          <w:rFonts w:ascii="Century751 SeBd BT" w:hAnsi="Century751 SeBd BT"/>
                          <w:color w:val="7F7F7F"/>
                          <w:sz w:val="18"/>
                        </w:rPr>
                        <w:t xml:space="preserve">Firma Miembro de </w:t>
                      </w:r>
                    </w:p>
                    <w:p w:rsidR="00C32BBF" w:rsidRPr="002C26F8" w:rsidRDefault="00C32BBF" w:rsidP="00C32BBF">
                      <w:pPr>
                        <w:spacing w:after="0" w:line="240" w:lineRule="auto"/>
                        <w:rPr>
                          <w:lang w:val="es-EC"/>
                        </w:rPr>
                      </w:pPr>
                    </w:p>
                  </w:txbxContent>
                </v:textbox>
              </v:shape>
            </w:pict>
          </mc:Fallback>
        </mc:AlternateContent>
      </w:r>
      <w:r>
        <w:rPr>
          <w:noProof/>
          <w:lang w:val="es-EC" w:eastAsia="es-EC" w:bidi="ar-SA"/>
        </w:rPr>
        <mc:AlternateContent>
          <mc:Choice Requires="wps">
            <w:drawing>
              <wp:anchor distT="0" distB="0" distL="114300" distR="114300" simplePos="0" relativeHeight="251683840" behindDoc="0" locked="0" layoutInCell="1" allowOverlap="1" wp14:anchorId="0C73E7A3" wp14:editId="558A0DF0">
                <wp:simplePos x="0" y="0"/>
                <wp:positionH relativeFrom="column">
                  <wp:posOffset>8255</wp:posOffset>
                </wp:positionH>
                <wp:positionV relativeFrom="paragraph">
                  <wp:posOffset>1877695</wp:posOffset>
                </wp:positionV>
                <wp:extent cx="6576060" cy="0"/>
                <wp:effectExtent l="57150" t="57150" r="53340" b="95250"/>
                <wp:wrapNone/>
                <wp:docPr id="15" name="Straight Connector 15"/>
                <wp:cNvGraphicFramePr/>
                <a:graphic xmlns:a="http://schemas.openxmlformats.org/drawingml/2006/main">
                  <a:graphicData uri="http://schemas.microsoft.com/office/word/2010/wordprocessingShape">
                    <wps:wsp>
                      <wps:cNvCnPr/>
                      <wps:spPr>
                        <a:xfrm>
                          <a:off x="0" y="0"/>
                          <a:ext cx="6576060" cy="0"/>
                        </a:xfrm>
                        <a:prstGeom prst="line">
                          <a:avLst/>
                        </a:prstGeom>
                        <a:ln>
                          <a:solidFill>
                            <a:srgbClr val="21B1AA"/>
                          </a:solidFill>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line id="Straight Connector 1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65pt,147.85pt" to="518.45pt,1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" strokecolor="#21b1aa" strokeweight="2.25pt">
                <v:shadow on="t" color="black" opacity="24903f" origin=",.5" offset="0,.55556mm"/>
              </v:line>
            </w:pict>
          </mc:Fallback>
        </mc:AlternateContent>
      </w:r>
    </w:p>
    <w:p w:rsidR="007870A9" w:rsidRDefault="00F20655">
      <w:pPr>
        <w:pStyle w:val="Cita"/>
        <w:jc w:val="left"/>
        <w:rPr>
          <w:rFonts w:asciiTheme="minorHAnsi" w:hAnsiTheme="minorHAnsi"/>
          <w:i w:val="0"/>
          <w:color w:val="2F5897" w:themeColor="text2"/>
          <w:sz w:val="22"/>
        </w:rPr>
      </w:pPr>
      <w:r w:rsidRPr="00C32BBF">
        <w:rPr>
          <w:noProof/>
          <w:u w:val="single"/>
          <w:lang w:val="es-EC" w:eastAsia="es-EC" w:bidi="ar-SA"/>
        </w:rPr>
        <w:lastRenderedPageBreak/>
        <w:drawing>
          <wp:anchor distT="0" distB="0" distL="114300" distR="114300" simplePos="0" relativeHeight="251680768" behindDoc="1" locked="0" layoutInCell="1" allowOverlap="1" wp14:anchorId="68E88515" wp14:editId="3B466779">
            <wp:simplePos x="0" y="0"/>
            <wp:positionH relativeFrom="column">
              <wp:posOffset>2542540</wp:posOffset>
            </wp:positionH>
            <wp:positionV relativeFrom="paragraph">
              <wp:posOffset>2843530</wp:posOffset>
            </wp:positionV>
            <wp:extent cx="1499235" cy="452755"/>
            <wp:effectExtent l="0" t="0" r="5715" b="4445"/>
            <wp:wrapTight wrapText="bothSides">
              <wp:wrapPolygon edited="0">
                <wp:start x="1921" y="0"/>
                <wp:lineTo x="0" y="4544"/>
                <wp:lineTo x="0" y="13633"/>
                <wp:lineTo x="1098" y="20903"/>
                <wp:lineTo x="1372" y="20903"/>
                <wp:lineTo x="21408" y="20903"/>
                <wp:lineTo x="21408" y="2727"/>
                <wp:lineTo x="18938" y="0"/>
                <wp:lineTo x="1921" y="0"/>
              </wp:wrapPolygon>
            </wp:wrapTight>
            <wp:docPr id="13" name="Picture 13" descr="Princip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cipal Logo"/>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49923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FE0A40">
        <w:rPr>
          <w:rFonts w:asciiTheme="minorHAnsi" w:hAnsiTheme="minorHAnsi"/>
          <w:i w:val="0"/>
          <w:noProof/>
          <w:color w:val="2F5897" w:themeColor="text2"/>
          <w:sz w:val="22"/>
          <w:lang w:val="es-EC" w:eastAsia="es-EC" w:bidi="ar-SA"/>
        </w:rPr>
        <mc:AlternateContent>
          <mc:Choice Requires="wps">
            <w:drawing>
              <wp:anchor distT="182880" distB="0" distL="114300" distR="114300" simplePos="0" relativeHeight="251665408" behindDoc="1" locked="0" layoutInCell="1" allowOverlap="1" wp14:anchorId="4EDAE7B0" wp14:editId="3EF721B4">
                <wp:simplePos x="0" y="0"/>
                <wp:positionH relativeFrom="margin">
                  <wp:align>center</wp:align>
                </wp:positionH>
                <wp:positionV relativeFrom="margin">
                  <wp:align>bottom</wp:align>
                </wp:positionV>
                <wp:extent cx="6583680" cy="3442970"/>
                <wp:effectExtent l="0" t="0" r="7620" b="5080"/>
                <wp:wrapSquare wrapText="bothSides"/>
                <wp:docPr id="4" name="Text Box 4"/>
                <wp:cNvGraphicFramePr/>
                <a:graphic xmlns:a="http://schemas.openxmlformats.org/drawingml/2006/main">
                  <a:graphicData uri="http://schemas.microsoft.com/office/word/2010/wordprocessingShape">
                    <wps:wsp>
                      <wps:cNvSpPr txBox="1"/>
                      <wps:spPr>
                        <a:xfrm>
                          <a:off x="0" y="0"/>
                          <a:ext cx="6583680" cy="3443399"/>
                        </a:xfrm>
                        <a:prstGeom prst="rect">
                          <a:avLst/>
                        </a:prstGeom>
                        <a:gradFill>
                          <a:gsLst>
                            <a:gs pos="18000">
                              <a:schemeClr val="bg1">
                                <a:alpha val="56000"/>
                                <a:lumMod val="100000"/>
                              </a:schemeClr>
                            </a:gs>
                            <a:gs pos="40000">
                              <a:schemeClr val="bg1">
                                <a:alpha val="56000"/>
                                <a:lumMod val="100000"/>
                              </a:schemeClr>
                            </a:gs>
                            <a:gs pos="68000">
                              <a:srgbClr val="21B1AA">
                                <a:lumMod val="74000"/>
                                <a:alpha val="63000"/>
                              </a:srgbClr>
                            </a:gs>
                            <a:gs pos="82000">
                              <a:srgbClr val="13635F">
                                <a:alpha val="64000"/>
                              </a:srgbClr>
                            </a:gs>
                            <a:gs pos="93000">
                              <a:srgbClr val="0D4340">
                                <a:alpha val="71000"/>
                              </a:srgbClr>
                            </a:gs>
                          </a:gsLst>
                        </a:gradFill>
                        <a:ln w="6350">
                          <a:noFill/>
                        </a:ln>
                        <a:effectLst/>
                      </wps:spPr>
                      <wps:style>
                        <a:lnRef idx="0">
                          <a:schemeClr val="accent1"/>
                        </a:lnRef>
                        <a:fillRef idx="1002">
                          <a:schemeClr val="lt2"/>
                        </a:fillRef>
                        <a:effectRef idx="0">
                          <a:schemeClr val="accent1"/>
                        </a:effectRef>
                        <a:fontRef idx="minor">
                          <a:schemeClr val="dk1"/>
                        </a:fontRef>
                      </wps:style>
                      <wps:txbx>
                        <w:txbxContent>
                          <w:tbl>
                            <w:tblPr>
                              <w:tblW w:w="5000" w:type="pct"/>
                              <w:tblBorders>
                                <w:bottom w:val="single" w:sz="18" w:space="0" w:color="6076B4" w:themeColor="accent1"/>
                              </w:tblBorders>
                              <w:tblCellMar>
                                <w:left w:w="0" w:type="dxa"/>
                                <w:bottom w:w="288" w:type="dxa"/>
                                <w:right w:w="0" w:type="dxa"/>
                              </w:tblCellMar>
                              <w:tblLook w:val="04A0" w:firstRow="1" w:lastRow="0" w:firstColumn="1" w:lastColumn="0" w:noHBand="0" w:noVBand="1"/>
                            </w:tblPr>
                            <w:tblGrid>
                              <w:gridCol w:w="1036"/>
                              <w:gridCol w:w="8289"/>
                              <w:gridCol w:w="1036"/>
                            </w:tblGrid>
                            <w:tr w:rsidR="007870A9" w:rsidRPr="005D25FE">
                              <w:tc>
                                <w:tcPr>
                                  <w:tcW w:w="500" w:type="pct"/>
                                </w:tcPr>
                                <w:p w:rsidR="007870A9" w:rsidRDefault="007870A9">
                                  <w:pPr>
                                    <w:spacing w:after="0" w:line="240" w:lineRule="auto"/>
                                    <w:jc w:val="center"/>
                                    <w:rPr>
                                      <w:rFonts w:asciiTheme="majorHAnsi" w:eastAsiaTheme="majorEastAsia" w:hAnsiTheme="majorHAnsi" w:cstheme="majorBidi"/>
                                      <w:i/>
                                      <w:iCs/>
                                      <w:sz w:val="24"/>
                                      <w:szCs w:val="24"/>
                                    </w:rPr>
                                  </w:pPr>
                                </w:p>
                              </w:tc>
                              <w:tc>
                                <w:tcPr>
                                  <w:tcW w:w="4000" w:type="pct"/>
                                </w:tcPr>
                                <w:p w:rsidR="005D25FE" w:rsidRPr="005D25FE" w:rsidRDefault="005D25FE" w:rsidP="005D25FE">
                                  <w:pPr>
                                    <w:spacing w:after="0" w:line="240" w:lineRule="auto"/>
                                    <w:jc w:val="center"/>
                                    <w:rPr>
                                      <w:rFonts w:asciiTheme="majorHAnsi" w:eastAsiaTheme="majorEastAsia" w:hAnsiTheme="majorHAnsi" w:cstheme="majorBidi"/>
                                      <w:i/>
                                      <w:iCs/>
                                      <w:color w:val="2F5897" w:themeColor="text2"/>
                                      <w:sz w:val="24"/>
                                      <w:szCs w:val="24"/>
                                    </w:rPr>
                                  </w:pPr>
                                  <w:r w:rsidRPr="00B01908">
                                    <w:rPr>
                                      <w:rFonts w:asciiTheme="majorHAnsi" w:eastAsiaTheme="majorEastAsia" w:hAnsiTheme="majorHAnsi" w:cstheme="majorBidi"/>
                                      <w:i/>
                                      <w:iCs/>
                                      <w:color w:val="2F5897" w:themeColor="text2"/>
                                      <w:sz w:val="24"/>
                                      <w:szCs w:val="24"/>
                                      <w:lang w:val="es-EC"/>
                                    </w:rPr>
                                    <w:t>Nuestra</w:t>
                                  </w:r>
                                  <w:r w:rsidRPr="005D25FE">
                                    <w:rPr>
                                      <w:rFonts w:asciiTheme="majorHAnsi" w:eastAsiaTheme="majorEastAsia" w:hAnsiTheme="majorHAnsi" w:cstheme="majorBidi"/>
                                      <w:i/>
                                      <w:iCs/>
                                      <w:color w:val="2F5897" w:themeColor="text2"/>
                                      <w:sz w:val="24"/>
                                      <w:szCs w:val="24"/>
                                    </w:rPr>
                                    <w:t xml:space="preserve"> Misión: </w:t>
                                  </w:r>
                                </w:p>
                                <w:p w:rsidR="005D25FE" w:rsidRPr="005D25FE" w:rsidRDefault="005D25FE" w:rsidP="005D25FE">
                                  <w:pPr>
                                    <w:spacing w:after="0" w:line="240" w:lineRule="auto"/>
                                    <w:jc w:val="center"/>
                                    <w:rPr>
                                      <w:rFonts w:asciiTheme="majorHAnsi" w:eastAsiaTheme="majorEastAsia" w:hAnsiTheme="majorHAnsi" w:cstheme="majorBidi"/>
                                      <w:i/>
                                      <w:iCs/>
                                      <w:color w:val="2F5897" w:themeColor="text2"/>
                                      <w:sz w:val="10"/>
                                      <w:szCs w:val="24"/>
                                    </w:rPr>
                                  </w:pPr>
                                </w:p>
                                <w:p w:rsidR="007870A9" w:rsidRPr="005D25FE" w:rsidRDefault="005D25FE" w:rsidP="005D25FE">
                                  <w:pPr>
                                    <w:spacing w:after="0" w:line="240" w:lineRule="auto"/>
                                    <w:jc w:val="center"/>
                                    <w:rPr>
                                      <w:rFonts w:asciiTheme="majorHAnsi" w:eastAsiaTheme="majorEastAsia" w:hAnsiTheme="majorHAnsi" w:cstheme="majorBidi"/>
                                      <w:i/>
                                      <w:iCs/>
                                      <w:sz w:val="24"/>
                                      <w:szCs w:val="24"/>
                                      <w:lang w:val="es-ES"/>
                                    </w:rPr>
                                  </w:pPr>
                                  <w:r w:rsidRPr="005D25FE">
                                    <w:rPr>
                                      <w:rFonts w:asciiTheme="majorHAnsi" w:eastAsiaTheme="majorEastAsia" w:hAnsiTheme="majorHAnsi" w:cstheme="majorBidi"/>
                                      <w:i/>
                                      <w:iCs/>
                                      <w:color w:val="2F5897" w:themeColor="text2"/>
                                      <w:sz w:val="24"/>
                                      <w:szCs w:val="24"/>
                                      <w:lang w:val="es-ES"/>
                                    </w:rPr>
                                    <w:t>“Proporcionar servicios de alta calidad en auditoría, contabilidad, impuestos y asesoría gerencial con profesionalismo y compromiso”</w:t>
                                  </w:r>
                                </w:p>
                              </w:tc>
                              <w:tc>
                                <w:tcPr>
                                  <w:tcW w:w="500" w:type="pct"/>
                                </w:tcPr>
                                <w:p w:rsidR="007870A9" w:rsidRPr="005D25FE" w:rsidRDefault="007870A9">
                                  <w:pPr>
                                    <w:spacing w:after="0" w:line="240" w:lineRule="auto"/>
                                    <w:jc w:val="center"/>
                                    <w:rPr>
                                      <w:rFonts w:asciiTheme="majorHAnsi" w:eastAsiaTheme="majorEastAsia" w:hAnsiTheme="majorHAnsi" w:cstheme="majorBidi"/>
                                      <w:i/>
                                      <w:iCs/>
                                      <w:sz w:val="24"/>
                                      <w:szCs w:val="24"/>
                                      <w:lang w:val="es-ES"/>
                                    </w:rPr>
                                  </w:pPr>
                                </w:p>
                              </w:tc>
                            </w:tr>
                          </w:tbl>
                          <w:p w:rsidR="007870A9" w:rsidRPr="005D25FE" w:rsidRDefault="007870A9">
                            <w:pPr>
                              <w:jc w:val="center"/>
                              <w:rPr>
                                <w:rFonts w:asciiTheme="majorHAnsi" w:eastAsiaTheme="majorEastAsia" w:hAnsiTheme="majorHAnsi" w:cstheme="majorBidi"/>
                                <w:i/>
                                <w:iCs/>
                                <w:sz w:val="24"/>
                                <w:szCs w:val="24"/>
                                <w:lang w:val="es-ES"/>
                              </w:rPr>
                            </w:pPr>
                          </w:p>
                        </w:txbxContent>
                      </wps:txbx>
                      <wps:bodyPr rot="0" spcFirstLastPara="0" vertOverflow="overflow" horzOverflow="overflow" vert="horz" wrap="square" lIns="0" tIns="182880" rIns="0" bIns="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37" type="#_x0000_t202" style="position:absolute;left:0;text-align:left;margin-left:0;margin-top:0;width:518.4pt;height:271.1pt;z-index:-251651072;visibility:visible;mso-wrap-style:square;mso-width-percent:1000;mso-height-percent:0;mso-wrap-distance-left:9pt;mso-wrap-distance-top:14.4pt;mso-wrap-distance-right:9pt;mso-wrap-distance-bottom:0;mso-position-horizontal:center;mso-position-horizontal-relative:margin;mso-position-vertical:bottom;mso-position-vertical-relative:margin;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" fillcolor="white [3212]" stroked="f" strokeweight=".5pt">
                <v:fill opacity="46530f" color2="#0d4340" o:opacity2="36700f" rotate="t" focusposition=".5,.5" focussize="" colors="0 white;11796f white;26214f white;44564f #18837e;53740f #13635f" focus="100%" type="gradientRadial"/>
                <v:textbox inset="0,14.4pt,0,0">
                  <w:txbxContent>
                    <w:tbl>
                      <w:tblPr>
                        <w:tblW w:w="5000" w:type="pct"/>
                        <w:tblBorders>
                          <w:bottom w:val="single" w:sz="18" w:space="0" w:color="6076B4" w:themeColor="accent1"/>
                        </w:tblBorders>
                        <w:tblCellMar>
                          <w:left w:w="0" w:type="dxa"/>
                          <w:bottom w:w="288" w:type="dxa"/>
                          <w:right w:w="0" w:type="dxa"/>
                        </w:tblCellMar>
                        <w:tblLook w:val="04A0" w:firstRow="1" w:lastRow="0" w:firstColumn="1" w:lastColumn="0" w:noHBand="0" w:noVBand="1"/>
                      </w:tblPr>
                      <w:tblGrid>
                        <w:gridCol w:w="1036"/>
                        <w:gridCol w:w="8289"/>
                        <w:gridCol w:w="1036"/>
                      </w:tblGrid>
                      <w:tr w:rsidR="007870A9" w:rsidRPr="005D25FE">
                        <w:tc>
                          <w:tcPr>
                            <w:tcW w:w="500" w:type="pct"/>
                          </w:tcPr>
                          <w:p w:rsidR="007870A9" w:rsidRDefault="007870A9">
                            <w:pPr>
                              <w:spacing w:after="0" w:line="240" w:lineRule="auto"/>
                              <w:jc w:val="center"/>
                              <w:rPr>
                                <w:rFonts w:asciiTheme="majorHAnsi" w:eastAsiaTheme="majorEastAsia" w:hAnsiTheme="majorHAnsi" w:cstheme="majorBidi"/>
                                <w:i/>
                                <w:iCs/>
                                <w:sz w:val="24"/>
                                <w:szCs w:val="24"/>
                              </w:rPr>
                            </w:pPr>
                          </w:p>
                        </w:tc>
                        <w:tc>
                          <w:tcPr>
                            <w:tcW w:w="4000" w:type="pct"/>
                          </w:tcPr>
                          <w:p w:rsidR="005D25FE" w:rsidRPr="005D25FE" w:rsidRDefault="005D25FE" w:rsidP="005D25FE">
                            <w:pPr>
                              <w:spacing w:after="0" w:line="240" w:lineRule="auto"/>
                              <w:jc w:val="center"/>
                              <w:rPr>
                                <w:rFonts w:asciiTheme="majorHAnsi" w:eastAsiaTheme="majorEastAsia" w:hAnsiTheme="majorHAnsi" w:cstheme="majorBidi"/>
                                <w:i/>
                                <w:iCs/>
                                <w:color w:val="2F5897" w:themeColor="text2"/>
                                <w:sz w:val="24"/>
                                <w:szCs w:val="24"/>
                              </w:rPr>
                            </w:pPr>
                            <w:r w:rsidRPr="00B01908">
                              <w:rPr>
                                <w:rFonts w:asciiTheme="majorHAnsi" w:eastAsiaTheme="majorEastAsia" w:hAnsiTheme="majorHAnsi" w:cstheme="majorBidi"/>
                                <w:i/>
                                <w:iCs/>
                                <w:color w:val="2F5897" w:themeColor="text2"/>
                                <w:sz w:val="24"/>
                                <w:szCs w:val="24"/>
                                <w:lang w:val="es-EC"/>
                              </w:rPr>
                              <w:t>Nuestra</w:t>
                            </w:r>
                            <w:r w:rsidRPr="005D25FE">
                              <w:rPr>
                                <w:rFonts w:asciiTheme="majorHAnsi" w:eastAsiaTheme="majorEastAsia" w:hAnsiTheme="majorHAnsi" w:cstheme="majorBidi"/>
                                <w:i/>
                                <w:iCs/>
                                <w:color w:val="2F5897" w:themeColor="text2"/>
                                <w:sz w:val="24"/>
                                <w:szCs w:val="24"/>
                              </w:rPr>
                              <w:t xml:space="preserve"> Misión: </w:t>
                            </w:r>
                          </w:p>
                          <w:p w:rsidR="005D25FE" w:rsidRPr="005D25FE" w:rsidRDefault="005D25FE" w:rsidP="005D25FE">
                            <w:pPr>
                              <w:spacing w:after="0" w:line="240" w:lineRule="auto"/>
                              <w:jc w:val="center"/>
                              <w:rPr>
                                <w:rFonts w:asciiTheme="majorHAnsi" w:eastAsiaTheme="majorEastAsia" w:hAnsiTheme="majorHAnsi" w:cstheme="majorBidi"/>
                                <w:i/>
                                <w:iCs/>
                                <w:color w:val="2F5897" w:themeColor="text2"/>
                                <w:sz w:val="10"/>
                                <w:szCs w:val="24"/>
                              </w:rPr>
                            </w:pPr>
                          </w:p>
                          <w:p w:rsidR="007870A9" w:rsidRPr="005D25FE" w:rsidRDefault="005D25FE" w:rsidP="005D25FE">
                            <w:pPr>
                              <w:spacing w:after="0" w:line="240" w:lineRule="auto"/>
                              <w:jc w:val="center"/>
                              <w:rPr>
                                <w:rFonts w:asciiTheme="majorHAnsi" w:eastAsiaTheme="majorEastAsia" w:hAnsiTheme="majorHAnsi" w:cstheme="majorBidi"/>
                                <w:i/>
                                <w:iCs/>
                                <w:sz w:val="24"/>
                                <w:szCs w:val="24"/>
                                <w:lang w:val="es-ES"/>
                              </w:rPr>
                            </w:pPr>
                            <w:r w:rsidRPr="005D25FE">
                              <w:rPr>
                                <w:rFonts w:asciiTheme="majorHAnsi" w:eastAsiaTheme="majorEastAsia" w:hAnsiTheme="majorHAnsi" w:cstheme="majorBidi"/>
                                <w:i/>
                                <w:iCs/>
                                <w:color w:val="2F5897" w:themeColor="text2"/>
                                <w:sz w:val="24"/>
                                <w:szCs w:val="24"/>
                                <w:lang w:val="es-ES"/>
                              </w:rPr>
                              <w:t>“Proporcionar servicios de alta calidad en auditoría, contabilidad, impuestos y asesoría gerencial con profesionalismo y compromiso”</w:t>
                            </w:r>
                          </w:p>
                        </w:tc>
                        <w:tc>
                          <w:tcPr>
                            <w:tcW w:w="500" w:type="pct"/>
                          </w:tcPr>
                          <w:p w:rsidR="007870A9" w:rsidRPr="005D25FE" w:rsidRDefault="007870A9">
                            <w:pPr>
                              <w:spacing w:after="0" w:line="240" w:lineRule="auto"/>
                              <w:jc w:val="center"/>
                              <w:rPr>
                                <w:rFonts w:asciiTheme="majorHAnsi" w:eastAsiaTheme="majorEastAsia" w:hAnsiTheme="majorHAnsi" w:cstheme="majorBidi"/>
                                <w:i/>
                                <w:iCs/>
                                <w:sz w:val="24"/>
                                <w:szCs w:val="24"/>
                                <w:lang w:val="es-ES"/>
                              </w:rPr>
                            </w:pPr>
                          </w:p>
                        </w:tc>
                      </w:tr>
                    </w:tbl>
                    <w:p w:rsidR="007870A9" w:rsidRPr="005D25FE" w:rsidRDefault="007870A9">
                      <w:pPr>
                        <w:jc w:val="center"/>
                        <w:rPr>
                          <w:rFonts w:asciiTheme="majorHAnsi" w:eastAsiaTheme="majorEastAsia" w:hAnsiTheme="majorHAnsi" w:cstheme="majorBidi"/>
                          <w:i/>
                          <w:iCs/>
                          <w:sz w:val="24"/>
                          <w:szCs w:val="24"/>
                          <w:lang w:val="es-ES"/>
                        </w:rPr>
                      </w:pPr>
                    </w:p>
                  </w:txbxContent>
                </v:textbox>
                <w10:wrap type="square" anchorx="margin" anchory="margin"/>
              </v:shape>
            </w:pict>
          </mc:Fallback>
        </mc:AlternateContent>
      </w:r>
    </w:p>
    <w:sectPr w:rsidR="007870A9">
      <w:type w:val="continuous"/>
      <w:pgSz w:w="12240" w:h="15840"/>
      <w:pgMar w:top="936" w:right="936" w:bottom="936" w:left="936"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HYGothic-Medium">
    <w:altName w:val="HY중고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Exotc350 DmBd BT">
    <w:altName w:val="Gabriola"/>
    <w:charset w:val="00"/>
    <w:family w:val="decorative"/>
    <w:pitch w:val="variable"/>
    <w:sig w:usb0="00000001" w:usb1="1000204A" w:usb2="00000000" w:usb3="00000000" w:csb0="00000011"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entury751 SeBd BT">
    <w:altName w:val="Times New Roman"/>
    <w:charset w:val="00"/>
    <w:family w:val="auto"/>
    <w:pitch w:val="variable"/>
    <w:sig w:usb0="00000001" w:usb1="1000204A"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9.2pt;height:9.2pt" o:bullet="t">
        <v:imagedata r:id="rId1" o:title="BD15059_"/>
      </v:shape>
    </w:pict>
  </w:numPicBullet>
  <w:abstractNum w:abstractNumId="0">
    <w:nsid w:val="540B65AA"/>
    <w:multiLevelType w:val="hybridMultilevel"/>
    <w:tmpl w:val="59D4AC20"/>
    <w:lvl w:ilvl="0" w:tplc="6EDA0EC2">
      <w:start w:val="1"/>
      <w:numFmt w:val="bullet"/>
      <w:lvlText w:val=""/>
      <w:lvlPicBulletId w:val="0"/>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DateAndTime/>
  <w:proofState w:spelling="clean" w:grammar="clean"/>
  <w:attachedTemplate r:id="rId1"/>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1A9"/>
    <w:rsid w:val="00165C68"/>
    <w:rsid w:val="002671A9"/>
    <w:rsid w:val="002A7BD6"/>
    <w:rsid w:val="004127AF"/>
    <w:rsid w:val="00491E34"/>
    <w:rsid w:val="004A2681"/>
    <w:rsid w:val="004B343A"/>
    <w:rsid w:val="005D25FE"/>
    <w:rsid w:val="006455FD"/>
    <w:rsid w:val="007870A9"/>
    <w:rsid w:val="00850E2F"/>
    <w:rsid w:val="00B01908"/>
    <w:rsid w:val="00B40C41"/>
    <w:rsid w:val="00BB63B1"/>
    <w:rsid w:val="00C32BBF"/>
    <w:rsid w:val="00C527C1"/>
    <w:rsid w:val="00D122AA"/>
    <w:rsid w:val="00E64237"/>
    <w:rsid w:val="00E8609B"/>
    <w:rsid w:val="00F20655"/>
    <w:rsid w:val="00FE0A4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Ttulo2">
    <w:name w:val="heading 2"/>
    <w:basedOn w:val="Normal"/>
    <w:next w:val="Normal"/>
    <w:link w:val="Ttulo2C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Ttulo3">
    <w:name w:val="heading 3"/>
    <w:basedOn w:val="Normal"/>
    <w:next w:val="Normal"/>
    <w:link w:val="Ttulo3C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Ttulo4">
    <w:name w:val="heading 4"/>
    <w:basedOn w:val="Normal"/>
    <w:next w:val="Normal"/>
    <w:link w:val="Ttulo4C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Ttulo5">
    <w:name w:val="heading 5"/>
    <w:basedOn w:val="Normal"/>
    <w:next w:val="Normal"/>
    <w:link w:val="Ttulo5C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Ttulo6">
    <w:name w:val="heading 6"/>
    <w:basedOn w:val="Normal"/>
    <w:next w:val="Normal"/>
    <w:link w:val="Ttulo6C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Ttulo7">
    <w:name w:val="heading 7"/>
    <w:basedOn w:val="Normal"/>
    <w:next w:val="Normal"/>
    <w:link w:val="Ttulo7C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Ttulo8">
    <w:name w:val="heading 8"/>
    <w:basedOn w:val="Normal"/>
    <w:next w:val="Normal"/>
    <w:link w:val="Ttulo8C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Ttulo9">
    <w:name w:val="heading 9"/>
    <w:basedOn w:val="Normal"/>
    <w:next w:val="Normal"/>
    <w:link w:val="Ttulo9C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Cs/>
      <w:i/>
      <w:color w:val="6076B4" w:themeColor="accent1"/>
      <w:sz w:val="32"/>
      <w:szCs w:val="32"/>
      <w:lang w:eastAsia="en-US"/>
    </w:rPr>
  </w:style>
  <w:style w:type="paragraph" w:styleId="Subttulo">
    <w:name w:val="Subtitle"/>
    <w:basedOn w:val="Normal"/>
    <w:next w:val="Normal"/>
    <w:link w:val="SubttuloCar"/>
    <w:uiPriority w:val="11"/>
    <w:qFormat/>
    <w:pPr>
      <w:numPr>
        <w:ilvl w:val="1"/>
      </w:numPr>
    </w:pPr>
    <w:rPr>
      <w:rFonts w:eastAsiaTheme="majorEastAsia" w:cstheme="majorBidi"/>
      <w:iCs/>
      <w:color w:val="000000" w:themeColor="text1"/>
      <w:spacing w:val="15"/>
      <w:sz w:val="24"/>
      <w:szCs w:val="24"/>
    </w:rPr>
  </w:style>
  <w:style w:type="character" w:customStyle="1" w:styleId="SubttuloCar">
    <w:name w:val="Subtítulo Car"/>
    <w:basedOn w:val="Fuentedeprrafopredeter"/>
    <w:link w:val="Subttulo"/>
    <w:uiPriority w:val="11"/>
    <w:rPr>
      <w:rFonts w:eastAsiaTheme="majorEastAsia" w:cstheme="majorBidi"/>
      <w:iCs/>
      <w:color w:val="000000" w:themeColor="text1"/>
      <w:spacing w:val="15"/>
      <w:sz w:val="24"/>
      <w:szCs w:val="24"/>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eastAsia="ja-JP"/>
    </w:rPr>
  </w:style>
  <w:style w:type="character" w:customStyle="1" w:styleId="Ttulo2Car">
    <w:name w:val="Título 2 Car"/>
    <w:basedOn w:val="Fuentedeprrafopredeter"/>
    <w:link w:val="Ttulo2"/>
    <w:uiPriority w:val="9"/>
    <w:semiHidden/>
    <w:rPr>
      <w:rFonts w:asciiTheme="majorHAnsi" w:eastAsiaTheme="majorEastAsia" w:hAnsiTheme="majorHAnsi" w:cstheme="majorBidi"/>
      <w:bCs/>
      <w:color w:val="2F5897" w:themeColor="text2"/>
      <w:sz w:val="28"/>
      <w:szCs w:val="26"/>
      <w:lang w:eastAsia="en-US"/>
    </w:rPr>
  </w:style>
  <w:style w:type="character" w:customStyle="1" w:styleId="Ttulo3Car">
    <w:name w:val="Título 3 Car"/>
    <w:basedOn w:val="Fuentedeprrafopredeter"/>
    <w:link w:val="Ttulo3"/>
    <w:uiPriority w:val="9"/>
    <w:semiHidden/>
    <w:rPr>
      <w:rFonts w:asciiTheme="majorHAnsi" w:eastAsiaTheme="majorEastAsia" w:hAnsiTheme="majorHAnsi" w:cstheme="majorBidi"/>
      <w:bCs/>
      <w:i/>
      <w:color w:val="2F5897" w:themeColor="text2"/>
      <w:sz w:val="23"/>
      <w:lang w:eastAsia="en-US"/>
    </w:rPr>
  </w:style>
  <w:style w:type="character" w:customStyle="1" w:styleId="Ttulo4Car">
    <w:name w:val="Título 4 Car"/>
    <w:basedOn w:val="Fuentedeprrafopredeter"/>
    <w:link w:val="Ttulo4"/>
    <w:uiPriority w:val="9"/>
    <w:semiHidden/>
    <w:rPr>
      <w:rFonts w:asciiTheme="majorHAnsi" w:eastAsiaTheme="majorEastAsia" w:hAnsiTheme="majorHAnsi" w:cstheme="majorBidi"/>
      <w:bCs/>
      <w:i/>
      <w:iCs/>
      <w:color w:val="2F5897" w:themeColor="text2"/>
      <w:sz w:val="23"/>
      <w:lang w:eastAsia="en-U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F5897" w:themeColor="text2"/>
      <w:lang w:eastAsia="en-U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F5897" w:themeColor="text2"/>
      <w:sz w:val="21"/>
      <w:lang w:eastAsia="en-U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000000" w:themeColor="text1"/>
      <w:sz w:val="21"/>
      <w:lang w:eastAsia="en-U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000000" w:themeColor="text1"/>
      <w:sz w:val="20"/>
      <w:szCs w:val="20"/>
      <w:lang w:eastAsia="en-U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000000" w:themeColor="text1"/>
      <w:sz w:val="20"/>
      <w:szCs w:val="20"/>
      <w:lang w:eastAsia="en-US"/>
    </w:rPr>
  </w:style>
  <w:style w:type="paragraph" w:styleId="Epgrafe">
    <w:name w:val="caption"/>
    <w:basedOn w:val="Normal"/>
    <w:next w:val="Normal"/>
    <w:uiPriority w:val="35"/>
    <w:semiHidden/>
    <w:unhideWhenUsed/>
    <w:qFormat/>
    <w:pPr>
      <w:spacing w:line="240" w:lineRule="auto"/>
    </w:pPr>
    <w:rPr>
      <w:b/>
      <w:bCs/>
      <w:color w:val="2F5897" w:themeColor="text2"/>
      <w:sz w:val="18"/>
      <w:szCs w:val="18"/>
    </w:rPr>
  </w:style>
  <w:style w:type="paragraph" w:styleId="Ttulo">
    <w:name w:val="Title"/>
    <w:basedOn w:val="Normal"/>
    <w:next w:val="Normal"/>
    <w:link w:val="TtuloC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tuloCar">
    <w:name w:val="Título Car"/>
    <w:basedOn w:val="Fuentedeprrafopredeter"/>
    <w:link w:val="Ttulo"/>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color w:val="000000"/>
    </w:rPr>
  </w:style>
  <w:style w:type="paragraph" w:styleId="Sinespaciado">
    <w:name w:val="No Spacing"/>
    <w:link w:val="SinespaciadoCar"/>
    <w:uiPriority w:val="1"/>
    <w:qFormat/>
    <w:pPr>
      <w:spacing w:after="0" w:line="240" w:lineRule="auto"/>
    </w:pPr>
    <w:rPr>
      <w:lang w:eastAsia="en-US"/>
    </w:rPr>
  </w:style>
  <w:style w:type="character" w:customStyle="1" w:styleId="SinespaciadoCar">
    <w:name w:val="Sin espaciado Car"/>
    <w:basedOn w:val="Fuentedeprrafopredeter"/>
    <w:link w:val="Sinespaciado"/>
    <w:uiPriority w:val="1"/>
    <w:rPr>
      <w:lang w:eastAsia="en-US"/>
    </w:rPr>
  </w:style>
  <w:style w:type="paragraph" w:styleId="Prrafodelista">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Cita">
    <w:name w:val="Quote"/>
    <w:basedOn w:val="Normal"/>
    <w:next w:val="Normal"/>
    <w:link w:val="CitaC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CitaCar">
    <w:name w:val="Cita Car"/>
    <w:basedOn w:val="Fuentedeprrafopredeter"/>
    <w:link w:val="Cita"/>
    <w:uiPriority w:val="29"/>
    <w:rPr>
      <w:rFonts w:asciiTheme="majorHAnsi" w:hAnsiTheme="majorHAnsi"/>
      <w:i/>
      <w:iCs/>
      <w:color w:val="6076B4" w:themeColor="accent1"/>
      <w:sz w:val="24"/>
      <w:lang w:eastAsia="en-US" w:bidi="hi-IN"/>
    </w:rPr>
  </w:style>
  <w:style w:type="paragraph" w:styleId="Citadestacada">
    <w:name w:val="Intense Quote"/>
    <w:basedOn w:val="Normal"/>
    <w:next w:val="Normal"/>
    <w:link w:val="CitadestacadaC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CitadestacadaCar">
    <w:name w:val="Cita destacada Car"/>
    <w:basedOn w:val="Fuentedeprrafopredeter"/>
    <w:link w:val="Citadestacada"/>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000000"/>
    </w:rPr>
  </w:style>
  <w:style w:type="character" w:styleId="Referenciasutil">
    <w:name w:val="Subtle Reference"/>
    <w:basedOn w:val="Fuentedeprrafopredeter"/>
    <w:uiPriority w:val="31"/>
    <w:qFormat/>
    <w:rPr>
      <w:smallCaps/>
      <w:color w:val="000000"/>
      <w:u w:val="single"/>
    </w:rPr>
  </w:style>
  <w:style w:type="character" w:styleId="Referenciaintensa">
    <w:name w:val="Intense Reference"/>
    <w:basedOn w:val="Fuentedeprrafopredeter"/>
    <w:uiPriority w:val="32"/>
    <w:qFormat/>
    <w:rPr>
      <w:b/>
      <w:bCs/>
      <w:color w:val="000000"/>
      <w:spacing w:val="5"/>
      <w:u w:val="single"/>
    </w:rPr>
  </w:style>
  <w:style w:type="character" w:styleId="Ttulodellibro">
    <w:name w:val="Book Title"/>
    <w:basedOn w:val="Fuentedeprrafopredeter"/>
    <w:uiPriority w:val="33"/>
    <w:qFormat/>
    <w:rPr>
      <w:b/>
      <w:bCs/>
      <w:smallCaps/>
      <w:spacing w:val="10"/>
    </w:rPr>
  </w:style>
  <w:style w:type="paragraph" w:styleId="TDC1">
    <w:name w:val="toc 1"/>
    <w:basedOn w:val="Normal"/>
    <w:next w:val="Normal"/>
    <w:autoRedefine/>
    <w:uiPriority w:val="39"/>
    <w:semiHidden/>
    <w:unhideWhenUsed/>
    <w:pPr>
      <w:spacing w:after="100"/>
    </w:pPr>
    <w:rPr>
      <w:lang w:eastAsia="ja-JP"/>
    </w:rPr>
  </w:style>
  <w:style w:type="table" w:styleId="Tablaconcuadrcula">
    <w:name w:val="Table Grid"/>
    <w:basedOn w:val="Tabla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Ttulo2">
    <w:name w:val="heading 2"/>
    <w:basedOn w:val="Normal"/>
    <w:next w:val="Normal"/>
    <w:link w:val="Ttulo2C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Ttulo3">
    <w:name w:val="heading 3"/>
    <w:basedOn w:val="Normal"/>
    <w:next w:val="Normal"/>
    <w:link w:val="Ttulo3C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Ttulo4">
    <w:name w:val="heading 4"/>
    <w:basedOn w:val="Normal"/>
    <w:next w:val="Normal"/>
    <w:link w:val="Ttulo4C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Ttulo5">
    <w:name w:val="heading 5"/>
    <w:basedOn w:val="Normal"/>
    <w:next w:val="Normal"/>
    <w:link w:val="Ttulo5C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Ttulo6">
    <w:name w:val="heading 6"/>
    <w:basedOn w:val="Normal"/>
    <w:next w:val="Normal"/>
    <w:link w:val="Ttulo6C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Ttulo7">
    <w:name w:val="heading 7"/>
    <w:basedOn w:val="Normal"/>
    <w:next w:val="Normal"/>
    <w:link w:val="Ttulo7C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Ttulo8">
    <w:name w:val="heading 8"/>
    <w:basedOn w:val="Normal"/>
    <w:next w:val="Normal"/>
    <w:link w:val="Ttulo8C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Ttulo9">
    <w:name w:val="heading 9"/>
    <w:basedOn w:val="Normal"/>
    <w:next w:val="Normal"/>
    <w:link w:val="Ttulo9C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Cs/>
      <w:i/>
      <w:color w:val="6076B4" w:themeColor="accent1"/>
      <w:sz w:val="32"/>
      <w:szCs w:val="32"/>
      <w:lang w:eastAsia="en-US"/>
    </w:rPr>
  </w:style>
  <w:style w:type="paragraph" w:styleId="Subttulo">
    <w:name w:val="Subtitle"/>
    <w:basedOn w:val="Normal"/>
    <w:next w:val="Normal"/>
    <w:link w:val="SubttuloCar"/>
    <w:uiPriority w:val="11"/>
    <w:qFormat/>
    <w:pPr>
      <w:numPr>
        <w:ilvl w:val="1"/>
      </w:numPr>
    </w:pPr>
    <w:rPr>
      <w:rFonts w:eastAsiaTheme="majorEastAsia" w:cstheme="majorBidi"/>
      <w:iCs/>
      <w:color w:val="000000" w:themeColor="text1"/>
      <w:spacing w:val="15"/>
      <w:sz w:val="24"/>
      <w:szCs w:val="24"/>
    </w:rPr>
  </w:style>
  <w:style w:type="character" w:customStyle="1" w:styleId="SubttuloCar">
    <w:name w:val="Subtítulo Car"/>
    <w:basedOn w:val="Fuentedeprrafopredeter"/>
    <w:link w:val="Subttulo"/>
    <w:uiPriority w:val="11"/>
    <w:rPr>
      <w:rFonts w:eastAsiaTheme="majorEastAsia" w:cstheme="majorBidi"/>
      <w:iCs/>
      <w:color w:val="000000" w:themeColor="text1"/>
      <w:spacing w:val="15"/>
      <w:sz w:val="24"/>
      <w:szCs w:val="24"/>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eastAsia="ja-JP"/>
    </w:rPr>
  </w:style>
  <w:style w:type="character" w:customStyle="1" w:styleId="Ttulo2Car">
    <w:name w:val="Título 2 Car"/>
    <w:basedOn w:val="Fuentedeprrafopredeter"/>
    <w:link w:val="Ttulo2"/>
    <w:uiPriority w:val="9"/>
    <w:semiHidden/>
    <w:rPr>
      <w:rFonts w:asciiTheme="majorHAnsi" w:eastAsiaTheme="majorEastAsia" w:hAnsiTheme="majorHAnsi" w:cstheme="majorBidi"/>
      <w:bCs/>
      <w:color w:val="2F5897" w:themeColor="text2"/>
      <w:sz w:val="28"/>
      <w:szCs w:val="26"/>
      <w:lang w:eastAsia="en-US"/>
    </w:rPr>
  </w:style>
  <w:style w:type="character" w:customStyle="1" w:styleId="Ttulo3Car">
    <w:name w:val="Título 3 Car"/>
    <w:basedOn w:val="Fuentedeprrafopredeter"/>
    <w:link w:val="Ttulo3"/>
    <w:uiPriority w:val="9"/>
    <w:semiHidden/>
    <w:rPr>
      <w:rFonts w:asciiTheme="majorHAnsi" w:eastAsiaTheme="majorEastAsia" w:hAnsiTheme="majorHAnsi" w:cstheme="majorBidi"/>
      <w:bCs/>
      <w:i/>
      <w:color w:val="2F5897" w:themeColor="text2"/>
      <w:sz w:val="23"/>
      <w:lang w:eastAsia="en-US"/>
    </w:rPr>
  </w:style>
  <w:style w:type="character" w:customStyle="1" w:styleId="Ttulo4Car">
    <w:name w:val="Título 4 Car"/>
    <w:basedOn w:val="Fuentedeprrafopredeter"/>
    <w:link w:val="Ttulo4"/>
    <w:uiPriority w:val="9"/>
    <w:semiHidden/>
    <w:rPr>
      <w:rFonts w:asciiTheme="majorHAnsi" w:eastAsiaTheme="majorEastAsia" w:hAnsiTheme="majorHAnsi" w:cstheme="majorBidi"/>
      <w:bCs/>
      <w:i/>
      <w:iCs/>
      <w:color w:val="2F5897" w:themeColor="text2"/>
      <w:sz w:val="23"/>
      <w:lang w:eastAsia="en-U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F5897" w:themeColor="text2"/>
      <w:lang w:eastAsia="en-U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F5897" w:themeColor="text2"/>
      <w:sz w:val="21"/>
      <w:lang w:eastAsia="en-U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000000" w:themeColor="text1"/>
      <w:sz w:val="21"/>
      <w:lang w:eastAsia="en-U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000000" w:themeColor="text1"/>
      <w:sz w:val="20"/>
      <w:szCs w:val="20"/>
      <w:lang w:eastAsia="en-U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000000" w:themeColor="text1"/>
      <w:sz w:val="20"/>
      <w:szCs w:val="20"/>
      <w:lang w:eastAsia="en-US"/>
    </w:rPr>
  </w:style>
  <w:style w:type="paragraph" w:styleId="Epgrafe">
    <w:name w:val="caption"/>
    <w:basedOn w:val="Normal"/>
    <w:next w:val="Normal"/>
    <w:uiPriority w:val="35"/>
    <w:semiHidden/>
    <w:unhideWhenUsed/>
    <w:qFormat/>
    <w:pPr>
      <w:spacing w:line="240" w:lineRule="auto"/>
    </w:pPr>
    <w:rPr>
      <w:b/>
      <w:bCs/>
      <w:color w:val="2F5897" w:themeColor="text2"/>
      <w:sz w:val="18"/>
      <w:szCs w:val="18"/>
    </w:rPr>
  </w:style>
  <w:style w:type="paragraph" w:styleId="Ttulo">
    <w:name w:val="Title"/>
    <w:basedOn w:val="Normal"/>
    <w:next w:val="Normal"/>
    <w:link w:val="TtuloC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tuloCar">
    <w:name w:val="Título Car"/>
    <w:basedOn w:val="Fuentedeprrafopredeter"/>
    <w:link w:val="Ttulo"/>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color w:val="000000"/>
    </w:rPr>
  </w:style>
  <w:style w:type="paragraph" w:styleId="Sinespaciado">
    <w:name w:val="No Spacing"/>
    <w:link w:val="SinespaciadoCar"/>
    <w:uiPriority w:val="1"/>
    <w:qFormat/>
    <w:pPr>
      <w:spacing w:after="0" w:line="240" w:lineRule="auto"/>
    </w:pPr>
    <w:rPr>
      <w:lang w:eastAsia="en-US"/>
    </w:rPr>
  </w:style>
  <w:style w:type="character" w:customStyle="1" w:styleId="SinespaciadoCar">
    <w:name w:val="Sin espaciado Car"/>
    <w:basedOn w:val="Fuentedeprrafopredeter"/>
    <w:link w:val="Sinespaciado"/>
    <w:uiPriority w:val="1"/>
    <w:rPr>
      <w:lang w:eastAsia="en-US"/>
    </w:rPr>
  </w:style>
  <w:style w:type="paragraph" w:styleId="Prrafodelista">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Cita">
    <w:name w:val="Quote"/>
    <w:basedOn w:val="Normal"/>
    <w:next w:val="Normal"/>
    <w:link w:val="CitaC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CitaCar">
    <w:name w:val="Cita Car"/>
    <w:basedOn w:val="Fuentedeprrafopredeter"/>
    <w:link w:val="Cita"/>
    <w:uiPriority w:val="29"/>
    <w:rPr>
      <w:rFonts w:asciiTheme="majorHAnsi" w:hAnsiTheme="majorHAnsi"/>
      <w:i/>
      <w:iCs/>
      <w:color w:val="6076B4" w:themeColor="accent1"/>
      <w:sz w:val="24"/>
      <w:lang w:eastAsia="en-US" w:bidi="hi-IN"/>
    </w:rPr>
  </w:style>
  <w:style w:type="paragraph" w:styleId="Citadestacada">
    <w:name w:val="Intense Quote"/>
    <w:basedOn w:val="Normal"/>
    <w:next w:val="Normal"/>
    <w:link w:val="CitadestacadaC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CitadestacadaCar">
    <w:name w:val="Cita destacada Car"/>
    <w:basedOn w:val="Fuentedeprrafopredeter"/>
    <w:link w:val="Citadestacada"/>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000000"/>
    </w:rPr>
  </w:style>
  <w:style w:type="character" w:styleId="Referenciasutil">
    <w:name w:val="Subtle Reference"/>
    <w:basedOn w:val="Fuentedeprrafopredeter"/>
    <w:uiPriority w:val="31"/>
    <w:qFormat/>
    <w:rPr>
      <w:smallCaps/>
      <w:color w:val="000000"/>
      <w:u w:val="single"/>
    </w:rPr>
  </w:style>
  <w:style w:type="character" w:styleId="Referenciaintensa">
    <w:name w:val="Intense Reference"/>
    <w:basedOn w:val="Fuentedeprrafopredeter"/>
    <w:uiPriority w:val="32"/>
    <w:qFormat/>
    <w:rPr>
      <w:b/>
      <w:bCs/>
      <w:color w:val="000000"/>
      <w:spacing w:val="5"/>
      <w:u w:val="single"/>
    </w:rPr>
  </w:style>
  <w:style w:type="character" w:styleId="Ttulodellibro">
    <w:name w:val="Book Title"/>
    <w:basedOn w:val="Fuentedeprrafopredeter"/>
    <w:uiPriority w:val="33"/>
    <w:qFormat/>
    <w:rPr>
      <w:b/>
      <w:bCs/>
      <w:smallCaps/>
      <w:spacing w:val="10"/>
    </w:rPr>
  </w:style>
  <w:style w:type="paragraph" w:styleId="TDC1">
    <w:name w:val="toc 1"/>
    <w:basedOn w:val="Normal"/>
    <w:next w:val="Normal"/>
    <w:autoRedefine/>
    <w:uiPriority w:val="39"/>
    <w:semiHidden/>
    <w:unhideWhenUsed/>
    <w:pPr>
      <w:spacing w:after="100"/>
    </w:pPr>
    <w:rPr>
      <w:lang w:eastAsia="ja-JP"/>
    </w:rPr>
  </w:style>
  <w:style w:type="table" w:styleId="Tablaconcuadrcula">
    <w:name w:val="Table Grid"/>
    <w:basedOn w:val="Tabla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7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http://www.nexia.com/assets/images/1_Home/1_Masthead/nexia-logo-retina.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0.jpeg"/><Relationship Id="rId5" Type="http://schemas.microsoft.com/office/2007/relationships/stylesWithEffects" Target="stylesWithEffect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liana\AppData\Roaming\Microsoft\Templates\ExecutiveNewsletter.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6C613A5-8D02-4CA4-90EF-A22EA37BE049}">
  <ds:schemaRefs>
    <ds:schemaRef ds:uri="http://schemas.microsoft.com/sharepoint/v3/contenttype/forms"/>
  </ds:schemaRefs>
</ds:datastoreItem>
</file>

<file path=customXml/itemProps2.xml><?xml version="1.0" encoding="utf-8"?>
<ds:datastoreItem xmlns:ds="http://schemas.openxmlformats.org/officeDocument/2006/customXml" ds:itemID="{C549FFB0-0C35-4074-AC74-876BD27F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ExecutiveNewsletter</Template>
  <TotalTime>0</TotalTime>
  <Pages>7</Pages>
  <Words>3618</Words>
  <Characters>19905</Characters>
  <Application>Microsoft Office Word</Application>
  <DocSecurity>0</DocSecurity>
  <Lines>165</Lines>
  <Paragraphs>46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2016-02-01T16:24:00Z</cp:lastPrinted>
  <dcterms:created xsi:type="dcterms:W3CDTF">2016-03-21T16:10:00Z</dcterms:created>
  <dcterms:modified xsi:type="dcterms:W3CDTF">2016-03-21T16:10:00Z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TC017730579991</vt:lpwstr>
  </property>
</Properties>
</file>